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rPr>
          <w:rFonts w:hint="default" w:ascii="NEU-BZ" w:hAnsi="NEU-BZ" w:eastAsia="方正书宋_GBK"/>
          <w:color w:val="000000"/>
          <w:sz w:val="20"/>
          <w:szCs w:val="20"/>
        </w:rPr>
      </w:pPr>
      <w:bookmarkStart w:id="0" w:name="_GoBack"/>
      <w:bookmarkEnd w:id="0"/>
      <w:r>
        <mc:AlternateContent>
          <mc:Choice Requires="wps">
            <w:drawing>
              <wp:inline distT="0" distB="0" distL="114300" distR="114300">
                <wp:extent cx="5549900" cy="596900"/>
                <wp:effectExtent l="0" t="0" r="0" b="0"/>
                <wp:docPr id="1" name="文本框 1"/>
                <wp:cNvGraphicFramePr/>
                <a:graphic xmlns:a="http://schemas.openxmlformats.org/drawingml/2006/main">
                  <a:graphicData uri="http://schemas.microsoft.com/office/word/2010/wordprocessingShape">
                    <wps:wsp>
                      <wps:cNvSpPr txBox="1"/>
                      <wps:spPr>
                        <a:xfrm>
                          <a:off x="0" y="0"/>
                          <a:ext cx="5549900" cy="596900"/>
                        </a:xfrm>
                        <a:prstGeom prst="rect">
                          <a:avLst/>
                        </a:prstGeom>
                        <a:solidFill>
                          <a:srgbClr val="FFFFFF"/>
                        </a:solidFill>
                        <a:ln>
                          <a:noFill/>
                        </a:ln>
                      </wps:spPr>
                      <wps:txbx>
                        <w:txbxContent>
                          <w:p>
                            <w:pPr>
                              <w:pStyle w:val="4"/>
                              <w:rPr>
                                <w:rFonts w:hint="default" w:ascii="方正黑体简体" w:hAnsi="方正黑体简体" w:eastAsia="方正黑体简体"/>
                                <w:color w:val="000000"/>
                                <w:sz w:val="20"/>
                                <w:szCs w:val="20"/>
                              </w:rPr>
                            </w:pPr>
                            <w:r>
                              <w:rPr>
                                <w:rFonts w:hint="default" w:ascii="方正黑体简体" w:hAnsi="方正黑体简体" w:eastAsia="方正黑体简体"/>
                                <w:color w:val="000000"/>
                                <w:sz w:val="20"/>
                                <w:szCs w:val="20"/>
                              </w:rPr>
                              <w:t>附件</w:t>
                            </w:r>
                            <w:r>
                              <w:rPr>
                                <w:rFonts w:hint="default" w:ascii="方正黑体简体" w:hAnsi="方正黑体简体"/>
                                <w:color w:val="000000"/>
                                <w:sz w:val="20"/>
                                <w:szCs w:val="20"/>
                              </w:rPr>
                              <w:t>1</w:t>
                            </w:r>
                          </w:p>
                          <w:p>
                            <w:pPr>
                              <w:pStyle w:val="4"/>
                              <w:rPr>
                                <w:rFonts w:hint="default" w:ascii="方正黑体简体" w:hAnsi="方正黑体简体" w:eastAsia="方正黑体简体"/>
                                <w:color w:val="000000"/>
                                <w:sz w:val="20"/>
                                <w:szCs w:val="20"/>
                              </w:rPr>
                            </w:pPr>
                          </w:p>
                          <w:p>
                            <w:pPr>
                              <w:pStyle w:val="4"/>
                              <w:jc w:val="center"/>
                              <w:rPr>
                                <w:rFonts w:hint="default" w:ascii="方正小标宋简体" w:hAnsi="方正小标宋简体" w:eastAsia="方正小标宋简体"/>
                                <w:sz w:val="32"/>
                                <w:szCs w:val="32"/>
                              </w:rPr>
                            </w:pPr>
                            <w:r>
                              <w:rPr>
                                <w:rFonts w:hint="default" w:ascii="方正小标宋简体" w:hAnsi="方正小标宋简体" w:eastAsia="方正小标宋简体"/>
                                <w:sz w:val="32"/>
                                <w:szCs w:val="32"/>
                              </w:rPr>
                              <w:t>出租房源核验发布规则</w:t>
                            </w:r>
                          </w:p>
                        </w:txbxContent>
                      </wps:txbx>
                      <wps:bodyPr lIns="0" tIns="0" rIns="0" bIns="0" upright="1">
                        <a:spAutoFit/>
                      </wps:bodyPr>
                    </wps:wsp>
                  </a:graphicData>
                </a:graphic>
              </wp:inline>
            </w:drawing>
          </mc:Choice>
          <mc:Fallback>
            <w:pict>
              <v:shape id="_x0000_s1026" o:spid="_x0000_s1026" o:spt="202" type="#_x0000_t202" style="height:47pt;width:437pt;" fillcolor="#FFFFFF" filled="t" stroked="f" coordsize="21600,21600" o:gfxdata="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AjYr57VAAAABAEAAA8AAAAAAAAAAQAg&#10;AAAAIgAAAGRycy9kb3ducmV2LnhtbFBLAQIUABQAAAAIAIdO4kCsD1nl2AEAALUDAAAOAAAAAAAA&#10;AAEAIAAAACQBAABkcnMvZTJvRG9jLnhtbFBLBQYAAAAABgAGAFkBAABuBQAAAAA=&#10;">
                <v:fill on="t" focussize="0,0"/>
                <v:stroke on="f"/>
                <v:imagedata o:title=""/>
                <o:lock v:ext="edit" aspectratio="f"/>
                <v:textbox inset="0mm,0mm,0mm,0mm" style="mso-fit-shape-to-text:t;">
                  <w:txbxContent>
                    <w:p>
                      <w:pPr>
                        <w:pStyle w:val="4"/>
                        <w:rPr>
                          <w:rFonts w:hint="default" w:ascii="方正黑体简体" w:hAnsi="方正黑体简体" w:eastAsia="方正黑体简体"/>
                          <w:color w:val="000000"/>
                          <w:sz w:val="20"/>
                          <w:szCs w:val="20"/>
                        </w:rPr>
                      </w:pPr>
                      <w:r>
                        <w:rPr>
                          <w:rFonts w:hint="default" w:ascii="方正黑体简体" w:hAnsi="方正黑体简体" w:eastAsia="方正黑体简体"/>
                          <w:color w:val="000000"/>
                          <w:sz w:val="20"/>
                          <w:szCs w:val="20"/>
                        </w:rPr>
                        <w:t>附件</w:t>
                      </w:r>
                      <w:r>
                        <w:rPr>
                          <w:rFonts w:hint="default" w:ascii="方正黑体简体" w:hAnsi="方正黑体简体"/>
                          <w:color w:val="000000"/>
                          <w:sz w:val="20"/>
                          <w:szCs w:val="20"/>
                        </w:rPr>
                        <w:t>1</w:t>
                      </w:r>
                    </w:p>
                    <w:p>
                      <w:pPr>
                        <w:pStyle w:val="4"/>
                        <w:rPr>
                          <w:rFonts w:hint="default" w:ascii="方正黑体简体" w:hAnsi="方正黑体简体" w:eastAsia="方正黑体简体"/>
                          <w:color w:val="000000"/>
                          <w:sz w:val="20"/>
                          <w:szCs w:val="20"/>
                        </w:rPr>
                      </w:pPr>
                    </w:p>
                    <w:p>
                      <w:pPr>
                        <w:pStyle w:val="4"/>
                        <w:jc w:val="center"/>
                        <w:rPr>
                          <w:rFonts w:hint="default" w:ascii="方正小标宋简体" w:hAnsi="方正小标宋简体" w:eastAsia="方正小标宋简体"/>
                          <w:sz w:val="32"/>
                          <w:szCs w:val="32"/>
                        </w:rPr>
                      </w:pPr>
                      <w:r>
                        <w:rPr>
                          <w:rFonts w:hint="default" w:ascii="方正小标宋简体" w:hAnsi="方正小标宋简体" w:eastAsia="方正小标宋简体"/>
                          <w:sz w:val="32"/>
                          <w:szCs w:val="32"/>
                        </w:rPr>
                        <w:t>出租房源核验发布规则</w:t>
                      </w:r>
                    </w:p>
                  </w:txbxContent>
                </v:textbox>
                <w10:wrap type="none"/>
                <w10:anchorlock/>
              </v:shape>
            </w:pict>
          </mc:Fallback>
        </mc:AlternateContent>
      </w:r>
    </w:p>
    <w:p>
      <w:pPr>
        <w:pStyle w:val="4"/>
        <w:ind w:firstLineChars="200"/>
        <w:rPr>
          <w:rFonts w:hint="default" w:ascii="方正黑体_GBK" w:hAnsi="方正黑体_GBK" w:eastAsia="方正黑体_GBK"/>
          <w:color w:val="000000"/>
          <w:sz w:val="20"/>
          <w:szCs w:val="20"/>
        </w:rPr>
      </w:pPr>
      <w:r>
        <w:rPr>
          <w:rFonts w:hint="default" w:ascii="方正黑体_GBK" w:hAnsi="方正黑体_GBK" w:eastAsia="方正黑体_GBK"/>
          <w:color w:val="000000"/>
          <w:sz w:val="20"/>
          <w:szCs w:val="20"/>
        </w:rPr>
        <w:t>一、出租房源核验发布基本要求</w:t>
      </w:r>
    </w:p>
    <w:p>
      <w:pPr>
        <w:pStyle w:val="4"/>
        <w:ind w:firstLineChars="200"/>
        <w:rPr>
          <w:rFonts w:hint="default" w:eastAsia="方正书宋_GBK"/>
          <w:color w:val="000000"/>
          <w:sz w:val="20"/>
          <w:szCs w:val="20"/>
        </w:rPr>
      </w:pPr>
      <w:r>
        <w:rPr>
          <w:rFonts w:hint="default" w:ascii="NEU-BZ-S92" w:hAnsi="NEU-BZ-S92"/>
          <w:color w:val="000000"/>
          <w:sz w:val="20"/>
          <w:szCs w:val="20"/>
        </w:rPr>
        <w:t>1.</w:t>
      </w:r>
      <w:r>
        <w:rPr>
          <w:rFonts w:hint="default" w:eastAsia="方正书宋_GBK"/>
          <w:color w:val="000000"/>
          <w:sz w:val="20"/>
          <w:szCs w:val="20"/>
        </w:rPr>
        <w:t>发布人发布的出租房屋交易信息应通过网签备案平台进行核验。</w:t>
      </w:r>
    </w:p>
    <w:p>
      <w:pPr>
        <w:pStyle w:val="4"/>
        <w:ind w:firstLineChars="200"/>
        <w:rPr>
          <w:rFonts w:hint="default" w:eastAsia="方正书宋_GBK"/>
          <w:color w:val="000000"/>
          <w:sz w:val="20"/>
          <w:szCs w:val="20"/>
        </w:rPr>
      </w:pPr>
      <w:r>
        <w:rPr>
          <w:rFonts w:hint="default" w:ascii="NEU-BZ-S92" w:hAnsi="NEU-BZ-S92"/>
          <w:color w:val="000000"/>
          <w:sz w:val="20"/>
          <w:szCs w:val="20"/>
        </w:rPr>
        <w:t>2.</w:t>
      </w:r>
      <w:r>
        <w:rPr>
          <w:rFonts w:hint="default" w:eastAsia="方正书宋_GBK"/>
          <w:color w:val="000000"/>
          <w:sz w:val="20"/>
          <w:szCs w:val="20"/>
        </w:rPr>
        <w:t>申请核验的房源须符合依法可租、真实委托、真实状况和真实在租的要求。</w:t>
      </w:r>
    </w:p>
    <w:p>
      <w:pPr>
        <w:pStyle w:val="4"/>
        <w:ind w:firstLineChars="200"/>
        <w:rPr>
          <w:rFonts w:hint="default" w:eastAsia="方正书宋_GBK"/>
          <w:color w:val="000000"/>
          <w:sz w:val="20"/>
          <w:szCs w:val="20"/>
        </w:rPr>
      </w:pPr>
      <w:r>
        <w:rPr>
          <w:rFonts w:hint="default" w:ascii="NEU-BZ-S92" w:hAnsi="NEU-BZ-S92"/>
          <w:color w:val="000000"/>
          <w:sz w:val="20"/>
          <w:szCs w:val="20"/>
        </w:rPr>
        <w:t>3.</w:t>
      </w:r>
      <w:r>
        <w:rPr>
          <w:rFonts w:hint="default" w:eastAsia="方正书宋_GBK"/>
          <w:color w:val="000000"/>
          <w:sz w:val="20"/>
          <w:szCs w:val="20"/>
        </w:rPr>
        <w:t>房地产经纪机构、住房租赁企业核验的房源须取得产权人委托，若为共有产权，则需具有全部产权人真实意愿授权</w:t>
      </w:r>
      <w:r>
        <w:rPr>
          <w:rFonts w:hint="default" w:ascii="NEU-BZ-S92" w:hAnsi="NEU-BZ-S92"/>
          <w:color w:val="000000"/>
          <w:sz w:val="20"/>
          <w:szCs w:val="20"/>
        </w:rPr>
        <w:t>;</w:t>
      </w:r>
      <w:r>
        <w:rPr>
          <w:rFonts w:hint="default" w:eastAsia="方正书宋_GBK"/>
          <w:color w:val="000000"/>
          <w:sz w:val="20"/>
          <w:szCs w:val="20"/>
        </w:rPr>
        <w:t>对委托人不是房屋产权人的，应当要求其提供有效的拥有房屋出租权的证明。</w:t>
      </w:r>
    </w:p>
    <w:p>
      <w:pPr>
        <w:pStyle w:val="4"/>
        <w:ind w:firstLineChars="200"/>
        <w:rPr>
          <w:rFonts w:hint="default" w:eastAsia="方正书宋_GBK"/>
          <w:color w:val="000000"/>
          <w:sz w:val="20"/>
          <w:szCs w:val="20"/>
        </w:rPr>
      </w:pPr>
      <w:r>
        <w:rPr>
          <w:rFonts w:hint="default" w:ascii="NEU-BZ-S92" w:hAnsi="NEU-BZ-S92"/>
          <w:color w:val="000000"/>
          <w:sz w:val="20"/>
          <w:szCs w:val="20"/>
        </w:rPr>
        <w:t>4.</w:t>
      </w:r>
      <w:r>
        <w:rPr>
          <w:rFonts w:hint="default" w:eastAsia="方正书宋_GBK"/>
          <w:color w:val="000000"/>
          <w:sz w:val="20"/>
          <w:szCs w:val="20"/>
        </w:rPr>
        <w:t>房源核验时需正确填写产权证书编号、产权人姓名等信息录入房屋基本参数信息需同产权证书中信息保持一致。</w:t>
      </w:r>
    </w:p>
    <w:p>
      <w:pPr>
        <w:pStyle w:val="4"/>
        <w:ind w:firstLineChars="200"/>
        <w:rPr>
          <w:rFonts w:hint="default" w:eastAsia="方正书宋_GBK"/>
          <w:color w:val="000000"/>
          <w:sz w:val="20"/>
          <w:szCs w:val="20"/>
        </w:rPr>
      </w:pPr>
      <w:r>
        <w:rPr>
          <w:rFonts w:hint="default" w:ascii="NEU-BZ-S92" w:hAnsi="NEU-BZ-S92"/>
          <w:color w:val="000000"/>
          <w:sz w:val="20"/>
          <w:szCs w:val="20"/>
        </w:rPr>
        <w:t>5.</w:t>
      </w:r>
      <w:r>
        <w:rPr>
          <w:rFonts w:hint="default" w:eastAsia="方正书宋_GBK"/>
          <w:color w:val="000000"/>
          <w:sz w:val="20"/>
          <w:szCs w:val="20"/>
        </w:rPr>
        <w:t>个人和企业在网签备案平台实名注册后，可申请房源核验并查询验证房源核验码的真伪。</w:t>
      </w:r>
    </w:p>
    <w:p>
      <w:pPr>
        <w:pStyle w:val="4"/>
        <w:ind w:firstLineChars="200"/>
        <w:rPr>
          <w:rFonts w:hint="default" w:ascii="方正黑体_GBK" w:hAnsi="方正黑体_GBK" w:eastAsia="方正黑体_GBK"/>
          <w:color w:val="000000"/>
          <w:sz w:val="20"/>
          <w:szCs w:val="20"/>
        </w:rPr>
      </w:pPr>
      <w:r>
        <w:rPr>
          <w:rFonts w:hint="default" w:ascii="方正黑体_GBK" w:hAnsi="方正黑体_GBK" w:eastAsia="方正黑体_GBK"/>
          <w:color w:val="000000"/>
          <w:sz w:val="20"/>
          <w:szCs w:val="20"/>
        </w:rPr>
        <w:t>二、出租房源核验发布流程</w:t>
      </w:r>
    </w:p>
    <w:p>
      <w:pPr>
        <w:pStyle w:val="4"/>
        <w:ind w:firstLineChars="200"/>
        <w:rPr>
          <w:rFonts w:hint="default" w:eastAsia="方正书宋_GBK"/>
          <w:color w:val="000000"/>
          <w:sz w:val="20"/>
          <w:szCs w:val="20"/>
        </w:rPr>
      </w:pPr>
      <w:r>
        <w:rPr>
          <w:rFonts w:hint="default" w:eastAsia="方正书宋_GBK"/>
          <w:color w:val="000000"/>
          <w:sz w:val="20"/>
          <w:szCs w:val="20"/>
        </w:rPr>
        <w:t>（一）产权人发布房屋交易信息</w:t>
      </w:r>
    </w:p>
    <w:p>
      <w:pPr>
        <w:pStyle w:val="4"/>
        <w:ind w:firstLineChars="200"/>
        <w:rPr>
          <w:rFonts w:hint="default" w:eastAsia="方正书宋_GBK"/>
          <w:color w:val="000000"/>
          <w:sz w:val="20"/>
          <w:szCs w:val="20"/>
        </w:rPr>
      </w:pPr>
      <w:r>
        <w:rPr>
          <w:rFonts w:hint="default" w:eastAsia="方正书宋_GBK"/>
          <w:color w:val="000000"/>
          <w:sz w:val="20"/>
          <w:szCs w:val="20"/>
        </w:rPr>
        <w:t>当事人实名登录网签备案平台，选定待出租房屋后核验房屋交易信息，获取房源核验码后，可自行在网签备案平台、网络信息平台发布房屋交易信息，也可将核验码交由房地产经纪机构或住房租赁企业对外发布房屋交易信息。</w:t>
      </w:r>
    </w:p>
    <w:p>
      <w:pPr>
        <w:pStyle w:val="4"/>
        <w:ind w:firstLineChars="200"/>
        <w:rPr>
          <w:rFonts w:hint="default" w:eastAsia="方正书宋_GBK"/>
          <w:color w:val="000000"/>
          <w:sz w:val="20"/>
          <w:szCs w:val="20"/>
        </w:rPr>
      </w:pPr>
      <w:r>
        <w:rPr>
          <w:rFonts w:hint="default" w:eastAsia="方正书宋_GBK"/>
          <w:color w:val="000000"/>
          <w:sz w:val="20"/>
          <w:szCs w:val="20"/>
        </w:rPr>
        <w:t>（二）房地产经纪机构、住房租赁企业发布房屋交易信息</w:t>
      </w:r>
    </w:p>
    <w:p>
      <w:pPr>
        <w:pStyle w:val="4"/>
        <w:ind w:firstLineChars="200"/>
        <w:rPr>
          <w:rFonts w:hint="default" w:eastAsia="方正书宋_GBK"/>
          <w:color w:val="000000"/>
          <w:sz w:val="20"/>
          <w:szCs w:val="20"/>
        </w:rPr>
      </w:pPr>
      <w:r>
        <w:rPr>
          <w:rFonts w:hint="default" w:ascii="NEU-BZ-S92" w:hAnsi="NEU-BZ-S92"/>
          <w:color w:val="000000"/>
          <w:sz w:val="20"/>
          <w:szCs w:val="20"/>
        </w:rPr>
        <w:t>1.</w:t>
      </w:r>
      <w:r>
        <w:rPr>
          <w:rFonts w:hint="default" w:eastAsia="方正书宋_GBK"/>
          <w:color w:val="000000"/>
          <w:sz w:val="20"/>
          <w:szCs w:val="20"/>
        </w:rPr>
        <w:t>接受产权人委托并签订书面协议，产权人提供房源核验码，由房地产经纪机构、住房租赁企业对外发布房屋交易信息。</w:t>
      </w:r>
    </w:p>
    <w:p>
      <w:pPr>
        <w:pStyle w:val="4"/>
        <w:ind w:firstLineChars="200"/>
        <w:rPr>
          <w:rFonts w:hint="default" w:eastAsia="方正书宋_GBK"/>
          <w:color w:val="000000"/>
          <w:sz w:val="20"/>
          <w:szCs w:val="20"/>
        </w:rPr>
      </w:pPr>
      <w:r>
        <w:rPr>
          <w:rFonts w:hint="default" w:ascii="NEU-BZ-S92" w:hAnsi="NEU-BZ-S92"/>
          <w:color w:val="000000"/>
          <w:sz w:val="20"/>
          <w:szCs w:val="20"/>
        </w:rPr>
        <w:t>2.</w:t>
      </w:r>
      <w:r>
        <w:rPr>
          <w:rFonts w:hint="default" w:eastAsia="方正书宋_GBK"/>
          <w:color w:val="000000"/>
          <w:sz w:val="20"/>
          <w:szCs w:val="20"/>
        </w:rPr>
        <w:t>接受产权人委托签订书面协议（协议中约定由受托机构代为核验房源），产权人提供权属证明和身份证明材料，由房地产经纪机构、住房租赁企业代为核验房屋交易信息，获取核验码后对外发布房屋交易信息。</w:t>
      </w:r>
    </w:p>
    <w:p>
      <w:pPr>
        <w:pStyle w:val="4"/>
        <w:ind w:firstLineChars="200"/>
        <w:rPr>
          <w:rFonts w:hint="default" w:eastAsia="方正书宋_GBK"/>
          <w:color w:val="000000"/>
          <w:sz w:val="20"/>
          <w:szCs w:val="20"/>
        </w:rPr>
      </w:pPr>
      <w:r>
        <w:rPr>
          <w:rFonts w:hint="default" w:eastAsia="方正书宋_GBK"/>
          <w:color w:val="000000"/>
          <w:sz w:val="20"/>
          <w:szCs w:val="20"/>
        </w:rPr>
        <w:t>（三）网络信息平台审核发布房屋交易信息</w:t>
      </w:r>
    </w:p>
    <w:p>
      <w:pPr>
        <w:pStyle w:val="4"/>
        <w:ind w:firstLineChars="200"/>
        <w:rPr>
          <w:rFonts w:hint="default" w:eastAsia="方正书宋_GBK"/>
          <w:color w:val="000000"/>
          <w:sz w:val="20"/>
          <w:szCs w:val="20"/>
        </w:rPr>
      </w:pPr>
      <w:r>
        <w:rPr>
          <w:rFonts w:hint="default" w:ascii="NEU-BZ-S92" w:hAnsi="NEU-BZ-S92"/>
          <w:color w:val="000000"/>
          <w:sz w:val="20"/>
          <w:szCs w:val="20"/>
        </w:rPr>
        <w:t>1.</w:t>
      </w:r>
      <w:r>
        <w:rPr>
          <w:rFonts w:hint="default" w:eastAsia="方正书宋_GBK"/>
          <w:color w:val="000000"/>
          <w:sz w:val="20"/>
          <w:szCs w:val="20"/>
        </w:rPr>
        <w:t>产权人发布房屋交易信息。产权人屋产权须提供房信息和房源核验码，网络信息平台负责查询验证核验码真实性，核实后方可发布房屋交易信息。产权人无房源核验码，网络信息平台提供房源核验通道或根据产权人提供的信息代为申请核验，取得核验码后，方可发布房屋交易信息。</w:t>
      </w:r>
    </w:p>
    <w:p>
      <w:pPr>
        <w:pStyle w:val="4"/>
        <w:ind w:firstLineChars="200"/>
        <w:rPr>
          <w:rFonts w:hint="default" w:eastAsia="方正书宋_GBK"/>
          <w:color w:val="000000"/>
          <w:sz w:val="20"/>
          <w:szCs w:val="20"/>
        </w:rPr>
      </w:pPr>
      <w:r>
        <w:rPr>
          <w:rFonts w:hint="default" w:ascii="NEU-BZ-S92" w:hAnsi="NEU-BZ-S92"/>
          <w:color w:val="000000"/>
          <w:sz w:val="20"/>
          <w:szCs w:val="20"/>
        </w:rPr>
        <w:t>2.</w:t>
      </w:r>
      <w:r>
        <w:rPr>
          <w:rFonts w:hint="default" w:eastAsia="方正书宋_GBK"/>
          <w:color w:val="000000"/>
          <w:sz w:val="20"/>
          <w:szCs w:val="20"/>
        </w:rPr>
        <w:t>房地产经纪机构、住房租赁企业发布房屋交易信息。房地产经纪机构、住房租赁企业提供房源核验码，网络信息平台须查询核实核验码真实性，审核通过后发布房屋交易信息。</w:t>
      </w:r>
    </w:p>
    <w:p>
      <w:pPr>
        <w:pStyle w:val="4"/>
        <w:ind w:firstLineChars="200"/>
        <w:rPr>
          <w:rFonts w:hint="default" w:ascii="方正黑体_GBK" w:hAnsi="方正黑体_GBK" w:eastAsia="方正黑体_GBK"/>
          <w:color w:val="000000"/>
          <w:sz w:val="20"/>
          <w:szCs w:val="20"/>
        </w:rPr>
      </w:pPr>
      <w:r>
        <w:rPr>
          <w:rFonts w:hint="default" w:ascii="方正黑体_GBK" w:hAnsi="方正黑体_GBK" w:eastAsia="方正黑体_GBK"/>
          <w:color w:val="000000"/>
          <w:sz w:val="20"/>
          <w:szCs w:val="20"/>
        </w:rPr>
        <w:t>三、房源发布有关要求</w:t>
      </w:r>
    </w:p>
    <w:p>
      <w:pPr>
        <w:pStyle w:val="4"/>
        <w:ind w:firstLineChars="200"/>
        <w:rPr>
          <w:rFonts w:hint="default" w:eastAsia="方正书宋_GBK"/>
          <w:color w:val="000000"/>
          <w:sz w:val="20"/>
          <w:szCs w:val="20"/>
        </w:rPr>
      </w:pPr>
      <w:r>
        <w:rPr>
          <w:rFonts w:hint="default" w:eastAsia="方正书宋_GBK"/>
          <w:color w:val="000000"/>
          <w:sz w:val="20"/>
          <w:szCs w:val="20"/>
        </w:rPr>
        <w:t>个人，房地产经纪机构、住房租赁企业等在经营场所、网签备案平台和网络信息平台发布房屋交易信息时，对房源的宣传描述用语应严格遵守国家法律规定和社会主义核心价值观要求，符合《中华人民共和国广告法》和《房地产广告发布规定》，以及住建部发布《关于加强房地产中介管理促进行业健康发展的意见》等相关规定；禁止发布带有“国家级”“最高级”等绝对化用语；房源图片须为房屋现状的实景照片，照片清晰、亮度充足，禁止发布虚假房源图片进行冒充。</w:t>
      </w:r>
    </w:p>
    <w:p>
      <w:pPr>
        <w:pStyle w:val="4"/>
        <w:rPr>
          <w:rFonts w:hint="default" w:ascii="NEU-BZ" w:hAnsi="NEU-BZ" w:eastAsia="方正书宋_GBK"/>
          <w:color w:val="000000"/>
          <w:sz w:val="20"/>
          <w:szCs w:val="20"/>
        </w:rPr>
      </w:pPr>
    </w:p>
    <w:p>
      <w:pPr>
        <w:sectPr>
          <w:footnotePr>
            <w:numFmt w:val="decimalEnclosedCircleChinese"/>
          </w:footnotePr>
          <w:pgSz w:w="11907" w:h="16839"/>
          <w:pgMar w:top="2664" w:right="1587" w:bottom="1701" w:left="1587" w:header="720" w:footer="720" w:gutter="0"/>
        </w:sect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NEU-BZ">
    <w:altName w:val="宋体"/>
    <w:panose1 w:val="03000502000000000000"/>
    <w:charset w:val="86"/>
    <w:family w:val="script"/>
    <w:pitch w:val="default"/>
    <w:sig w:usb0="00000000" w:usb1="00000000" w:usb2="000A005E" w:usb3="00000000" w:csb0="003C0041" w:csb1="00000000"/>
  </w:font>
  <w:font w:name="方正书宋_GBK">
    <w:altName w:val="微软雅黑"/>
    <w:panose1 w:val="03000509000000000000"/>
    <w:charset w:val="86"/>
    <w:family w:val="script"/>
    <w:pitch w:val="default"/>
    <w:sig w:usb0="00000000" w:usb1="00000000" w:usb2="00000010" w:usb3="00000000" w:csb0="00040000" w:csb1="00000000"/>
  </w:font>
  <w:font w:name="方正黑体简体">
    <w:altName w:val="微软雅黑"/>
    <w:panose1 w:val="03000509000000000000"/>
    <w:charset w:val="86"/>
    <w:family w:val="script"/>
    <w:pitch w:val="default"/>
    <w:sig w:usb0="00000000" w:usb1="00000000" w:usb2="00000010" w:usb3="00000000" w:csb0="00040000" w:csb1="00000000"/>
  </w:font>
  <w:font w:name="方正小标宋简体">
    <w:altName w:val="黑体"/>
    <w:panose1 w:val="03000509000000000000"/>
    <w:charset w:val="86"/>
    <w:family w:val="script"/>
    <w:pitch w:val="default"/>
    <w:sig w:usb0="00000000" w:usb1="00000000" w:usb2="00000010" w:usb3="00000000" w:csb0="00040000" w:csb1="00000000"/>
  </w:font>
  <w:font w:name="方正黑体_GBK">
    <w:altName w:val="微软雅黑"/>
    <w:panose1 w:val="03000509000000000000"/>
    <w:charset w:val="86"/>
    <w:family w:val="script"/>
    <w:pitch w:val="default"/>
    <w:sig w:usb0="00000000" w:usb1="00000000" w:usb2="00000010" w:usb3="00000000" w:csb0="00040000" w:csb1="00000000"/>
  </w:font>
  <w:font w:name="NEU-BZ-S92">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numFmt w:val="decimalEnclosedCircleChinese"/>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617289"/>
    <w:rsid w:val="636172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NEU-BZ"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hAnsi="NEU-BZ" w:asciiTheme="minorHAnsi" w:eastAsiaTheme="minorEastAsia" w:cstheme="minorBidi"/>
      <w:sz w:val="22"/>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基本段落]"/>
    <w:basedOn w:val="5"/>
    <w:qFormat/>
    <w:uiPriority w:val="0"/>
  </w:style>
  <w:style w:type="paragraph" w:customStyle="1" w:styleId="5">
    <w:name w:val="[系统文字]"/>
    <w:qFormat/>
    <w:uiPriority w:val="0"/>
    <w:pPr>
      <w:spacing w:before="0" w:after="0"/>
      <w:ind w:left="0" w:right="0" w:firstLine="0" w:firstLineChars="0"/>
      <w:jc w:val="left"/>
    </w:pPr>
    <w:rPr>
      <w:rFonts w:hAnsi="NEU-BZ" w:asciiTheme="minorHAnsi" w:eastAsiaTheme="minorEastAsia" w:cstheme="minorBidi"/>
      <w:sz w:val="22"/>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2021-03-09T02:39:00Z</dcterms:created>
  <dc:creator>Avila</dc:creator>
  <cp:lastModifiedBy>Avila</cp:lastModifiedBy>
  <dcterms:modified xsi:type="dcterms:W3CDTF">2021-03-09T02:39:55Z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