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cs="仿宋"/>
          <w:b/>
          <w:bCs/>
          <w:sz w:val="72"/>
          <w:szCs w:val="72"/>
        </w:rPr>
      </w:pPr>
    </w:p>
    <w:p>
      <w:pPr>
        <w:jc w:val="center"/>
        <w:rPr>
          <w:rFonts w:ascii="宋体" w:cs="宋体"/>
          <w:b/>
          <w:bCs/>
          <w:szCs w:val="52"/>
        </w:rPr>
      </w:pPr>
      <w:r>
        <w:rPr>
          <w:rFonts w:hint="eastAsia" w:ascii="宋体" w:hAnsi="宋体" w:cs="宋体"/>
          <w:b/>
          <w:bCs/>
          <w:sz w:val="72"/>
          <w:szCs w:val="72"/>
        </w:rPr>
        <w:t>长沙市工商业联合会</w:t>
      </w:r>
    </w:p>
    <w:p>
      <w:pPr>
        <w:jc w:val="center"/>
        <w:rPr>
          <w:rFonts w:ascii="宋体" w:cs="宋体"/>
          <w:b/>
          <w:sz w:val="52"/>
          <w:szCs w:val="52"/>
        </w:rPr>
      </w:pPr>
    </w:p>
    <w:p>
      <w:pPr>
        <w:jc w:val="center"/>
        <w:rPr>
          <w:rFonts w:ascii="宋体" w:cs="宋体"/>
          <w:b/>
          <w:sz w:val="52"/>
          <w:szCs w:val="52"/>
        </w:rPr>
      </w:pPr>
      <w:r>
        <w:rPr>
          <w:rFonts w:hint="eastAsia" w:ascii="宋体" w:hAnsi="宋体" w:cs="宋体"/>
          <w:b/>
          <w:sz w:val="52"/>
          <w:szCs w:val="52"/>
        </w:rPr>
        <w:t>部</w:t>
      </w:r>
    </w:p>
    <w:p>
      <w:pPr>
        <w:jc w:val="center"/>
        <w:rPr>
          <w:rFonts w:ascii="宋体" w:cs="宋体"/>
          <w:b/>
          <w:sz w:val="52"/>
          <w:szCs w:val="52"/>
        </w:rPr>
      </w:pPr>
      <w:r>
        <w:rPr>
          <w:rFonts w:hint="eastAsia" w:ascii="宋体" w:hAnsi="宋体" w:cs="宋体"/>
          <w:b/>
          <w:sz w:val="52"/>
          <w:szCs w:val="52"/>
        </w:rPr>
        <w:t>门</w:t>
      </w:r>
    </w:p>
    <w:p>
      <w:pPr>
        <w:jc w:val="center"/>
        <w:rPr>
          <w:rFonts w:ascii="宋体" w:cs="宋体"/>
          <w:b/>
          <w:sz w:val="52"/>
          <w:szCs w:val="52"/>
        </w:rPr>
      </w:pPr>
      <w:r>
        <w:rPr>
          <w:rFonts w:hint="eastAsia" w:ascii="宋体" w:hAnsi="宋体" w:cs="宋体"/>
          <w:b/>
          <w:sz w:val="52"/>
          <w:szCs w:val="52"/>
        </w:rPr>
        <w:t>整</w:t>
      </w:r>
    </w:p>
    <w:p>
      <w:pPr>
        <w:jc w:val="center"/>
        <w:rPr>
          <w:rFonts w:ascii="宋体" w:cs="宋体"/>
          <w:b/>
          <w:sz w:val="52"/>
          <w:szCs w:val="52"/>
        </w:rPr>
      </w:pPr>
      <w:r>
        <w:rPr>
          <w:rFonts w:hint="eastAsia" w:ascii="宋体" w:hAnsi="宋体" w:cs="宋体"/>
          <w:b/>
          <w:sz w:val="52"/>
          <w:szCs w:val="52"/>
        </w:rPr>
        <w:t>体</w:t>
      </w:r>
    </w:p>
    <w:p>
      <w:pPr>
        <w:jc w:val="center"/>
        <w:rPr>
          <w:rFonts w:ascii="宋体" w:cs="宋体"/>
          <w:b/>
          <w:sz w:val="52"/>
          <w:szCs w:val="52"/>
        </w:rPr>
      </w:pPr>
      <w:r>
        <w:rPr>
          <w:rFonts w:hint="eastAsia" w:ascii="宋体" w:hAnsi="宋体" w:cs="宋体"/>
          <w:b/>
          <w:sz w:val="52"/>
          <w:szCs w:val="52"/>
        </w:rPr>
        <w:t>支</w:t>
      </w:r>
    </w:p>
    <w:p>
      <w:pPr>
        <w:jc w:val="center"/>
        <w:rPr>
          <w:rFonts w:ascii="宋体" w:cs="宋体"/>
          <w:b/>
          <w:sz w:val="52"/>
          <w:szCs w:val="52"/>
        </w:rPr>
      </w:pPr>
      <w:r>
        <w:rPr>
          <w:rFonts w:hint="eastAsia" w:ascii="宋体" w:hAnsi="宋体" w:cs="宋体"/>
          <w:b/>
          <w:sz w:val="52"/>
          <w:szCs w:val="52"/>
        </w:rPr>
        <w:t>出</w:t>
      </w:r>
    </w:p>
    <w:p>
      <w:pPr>
        <w:jc w:val="center"/>
        <w:rPr>
          <w:rFonts w:ascii="宋体" w:cs="宋体"/>
          <w:b/>
          <w:sz w:val="52"/>
          <w:szCs w:val="52"/>
        </w:rPr>
      </w:pPr>
      <w:r>
        <w:rPr>
          <w:rFonts w:hint="eastAsia" w:ascii="宋体" w:hAnsi="宋体" w:cs="宋体"/>
          <w:b/>
          <w:sz w:val="52"/>
          <w:szCs w:val="52"/>
        </w:rPr>
        <w:t>绩</w:t>
      </w:r>
    </w:p>
    <w:p>
      <w:pPr>
        <w:jc w:val="center"/>
        <w:rPr>
          <w:rFonts w:ascii="宋体" w:cs="宋体"/>
          <w:b/>
          <w:sz w:val="52"/>
          <w:szCs w:val="52"/>
        </w:rPr>
      </w:pPr>
      <w:r>
        <w:rPr>
          <w:rFonts w:hint="eastAsia" w:ascii="宋体" w:hAnsi="宋体" w:cs="宋体"/>
          <w:b/>
          <w:sz w:val="52"/>
          <w:szCs w:val="52"/>
        </w:rPr>
        <w:t>效</w:t>
      </w:r>
    </w:p>
    <w:p>
      <w:pPr>
        <w:jc w:val="center"/>
        <w:rPr>
          <w:rFonts w:ascii="宋体" w:cs="宋体"/>
          <w:b/>
          <w:sz w:val="52"/>
          <w:szCs w:val="52"/>
        </w:rPr>
      </w:pPr>
      <w:r>
        <w:rPr>
          <w:rFonts w:hint="eastAsia" w:ascii="宋体" w:hAnsi="宋体" w:cs="宋体"/>
          <w:b/>
          <w:sz w:val="52"/>
          <w:szCs w:val="52"/>
        </w:rPr>
        <w:t>评</w:t>
      </w:r>
    </w:p>
    <w:p>
      <w:pPr>
        <w:jc w:val="center"/>
        <w:rPr>
          <w:rFonts w:ascii="宋体" w:cs="宋体"/>
          <w:b/>
          <w:sz w:val="52"/>
          <w:szCs w:val="52"/>
        </w:rPr>
      </w:pPr>
      <w:r>
        <w:rPr>
          <w:rFonts w:hint="eastAsia" w:ascii="宋体" w:hAnsi="宋体" w:cs="宋体"/>
          <w:b/>
          <w:sz w:val="52"/>
          <w:szCs w:val="52"/>
        </w:rPr>
        <w:t>价</w:t>
      </w:r>
    </w:p>
    <w:p>
      <w:pPr>
        <w:rPr>
          <w:rFonts w:ascii="宋体" w:cs="宋体"/>
          <w:b/>
          <w:sz w:val="52"/>
          <w:szCs w:val="52"/>
        </w:rPr>
      </w:pPr>
    </w:p>
    <w:p>
      <w:pPr>
        <w:jc w:val="center"/>
        <w:rPr>
          <w:rFonts w:ascii="宋体" w:cs="宋体"/>
          <w:b/>
          <w:sz w:val="52"/>
          <w:szCs w:val="52"/>
        </w:rPr>
      </w:pPr>
      <w:r>
        <w:rPr>
          <w:rFonts w:ascii="宋体" w:hAnsi="宋体" w:cs="宋体"/>
          <w:b/>
          <w:sz w:val="52"/>
          <w:szCs w:val="52"/>
        </w:rPr>
        <w:t>20</w:t>
      </w:r>
      <w:r>
        <w:rPr>
          <w:rFonts w:hint="eastAsia" w:ascii="宋体" w:hAnsi="宋体" w:cs="宋体"/>
          <w:b/>
          <w:sz w:val="52"/>
          <w:szCs w:val="52"/>
        </w:rPr>
        <w:t>20年4月</w:t>
      </w:r>
    </w:p>
    <w:p>
      <w:pPr>
        <w:jc w:val="center"/>
        <w:rPr>
          <w:rFonts w:ascii="宋体"/>
          <w:b/>
          <w:bCs/>
          <w:sz w:val="44"/>
          <w:szCs w:val="44"/>
        </w:rPr>
      </w:pPr>
      <w:r>
        <w:rPr>
          <w:rFonts w:hint="eastAsia" w:ascii="宋体" w:hAnsi="宋体"/>
          <w:b/>
          <w:bCs/>
          <w:sz w:val="44"/>
          <w:szCs w:val="44"/>
        </w:rPr>
        <w:t>目录</w:t>
      </w:r>
    </w:p>
    <w:p>
      <w:pPr>
        <w:jc w:val="center"/>
        <w:rPr>
          <w:rFonts w:ascii="宋体"/>
          <w:b/>
          <w:bCs/>
          <w:sz w:val="44"/>
          <w:szCs w:val="44"/>
        </w:rPr>
      </w:pPr>
    </w:p>
    <w:p>
      <w:pPr>
        <w:pStyle w:val="10"/>
        <w:tabs>
          <w:tab w:val="right" w:leader="dot" w:pos="8306"/>
        </w:tabs>
        <w:spacing w:line="360" w:lineRule="auto"/>
        <w:rPr>
          <w:b/>
          <w:bCs/>
        </w:rPr>
      </w:pPr>
      <w:r>
        <w:rPr>
          <w:rFonts w:ascii="仿宋" w:hAnsi="仿宋" w:eastAsia="仿宋" w:cs="仿宋"/>
          <w:b/>
          <w:bCs/>
        </w:rPr>
        <w:fldChar w:fldCharType="begin"/>
      </w:r>
      <w:r>
        <w:rPr>
          <w:rFonts w:ascii="仿宋" w:hAnsi="仿宋" w:eastAsia="仿宋" w:cs="仿宋"/>
          <w:b/>
          <w:bCs/>
        </w:rPr>
        <w:instrText xml:space="preserve"> TOC \o "1-3" \h \z \u </w:instrText>
      </w:r>
      <w:r>
        <w:rPr>
          <w:rFonts w:ascii="仿宋" w:hAnsi="仿宋" w:eastAsia="仿宋" w:cs="仿宋"/>
          <w:b/>
          <w:bCs/>
        </w:rPr>
        <w:fldChar w:fldCharType="separate"/>
      </w:r>
      <w:r>
        <w:fldChar w:fldCharType="begin"/>
      </w:r>
      <w:r>
        <w:instrText xml:space="preserve"> HYPERLINK \l "_Toc74" </w:instrText>
      </w:r>
      <w:r>
        <w:fldChar w:fldCharType="separate"/>
      </w:r>
      <w:r>
        <w:rPr>
          <w:rFonts w:hint="eastAsia" w:ascii="仿宋" w:hAnsi="仿宋" w:eastAsia="仿宋" w:cs="仿宋"/>
          <w:b/>
          <w:bCs/>
        </w:rPr>
        <w:t>一、部门概况</w:t>
      </w:r>
      <w:r>
        <w:rPr>
          <w:b/>
          <w:bCs/>
        </w:rPr>
        <w:tab/>
      </w:r>
      <w:r>
        <w:rPr>
          <w:b/>
          <w:bCs/>
        </w:rPr>
        <w:fldChar w:fldCharType="begin"/>
      </w:r>
      <w:r>
        <w:rPr>
          <w:b/>
          <w:bCs/>
        </w:rPr>
        <w:instrText xml:space="preserve"> PAGEREF _Toc74 </w:instrText>
      </w:r>
      <w:r>
        <w:rPr>
          <w:b/>
          <w:bCs/>
        </w:rPr>
        <w:fldChar w:fldCharType="separate"/>
      </w:r>
      <w:r>
        <w:rPr>
          <w:b/>
          <w:bCs/>
        </w:rPr>
        <w:t>1</w:t>
      </w:r>
      <w:r>
        <w:rPr>
          <w:b/>
          <w:bCs/>
        </w:rPr>
        <w:fldChar w:fldCharType="end"/>
      </w:r>
      <w:r>
        <w:rPr>
          <w:b/>
          <w:bCs/>
        </w:rPr>
        <w:fldChar w:fldCharType="end"/>
      </w:r>
    </w:p>
    <w:p>
      <w:pPr>
        <w:pStyle w:val="11"/>
        <w:tabs>
          <w:tab w:val="right" w:leader="dot" w:pos="8306"/>
        </w:tabs>
        <w:spacing w:line="360" w:lineRule="auto"/>
        <w:rPr>
          <w:b/>
          <w:bCs/>
        </w:rPr>
      </w:pPr>
      <w:r>
        <w:fldChar w:fldCharType="begin"/>
      </w:r>
      <w:r>
        <w:instrText xml:space="preserve"> HYPERLINK \l "_Toc14909" </w:instrText>
      </w:r>
      <w:r>
        <w:fldChar w:fldCharType="separate"/>
      </w:r>
      <w:r>
        <w:rPr>
          <w:rFonts w:hint="eastAsia"/>
          <w:b/>
          <w:bCs/>
        </w:rPr>
        <w:t>（一）单位基本情况</w:t>
      </w:r>
      <w:r>
        <w:rPr>
          <w:b/>
          <w:bCs/>
        </w:rPr>
        <w:tab/>
      </w:r>
      <w:r>
        <w:rPr>
          <w:b/>
          <w:bCs/>
        </w:rPr>
        <w:fldChar w:fldCharType="begin"/>
      </w:r>
      <w:r>
        <w:rPr>
          <w:b/>
          <w:bCs/>
        </w:rPr>
        <w:instrText xml:space="preserve"> PAGEREF _Toc14909 </w:instrText>
      </w:r>
      <w:r>
        <w:rPr>
          <w:b/>
          <w:bCs/>
        </w:rPr>
        <w:fldChar w:fldCharType="separate"/>
      </w:r>
      <w:r>
        <w:rPr>
          <w:b/>
          <w:bCs/>
        </w:rPr>
        <w:t>1</w:t>
      </w:r>
      <w:r>
        <w:rPr>
          <w:b/>
          <w:bCs/>
        </w:rPr>
        <w:fldChar w:fldCharType="end"/>
      </w:r>
      <w:r>
        <w:rPr>
          <w:b/>
          <w:bCs/>
        </w:rPr>
        <w:fldChar w:fldCharType="end"/>
      </w:r>
    </w:p>
    <w:p>
      <w:pPr>
        <w:pStyle w:val="11"/>
        <w:tabs>
          <w:tab w:val="right" w:leader="dot" w:pos="8306"/>
        </w:tabs>
        <w:spacing w:line="360" w:lineRule="auto"/>
        <w:rPr>
          <w:b/>
          <w:bCs/>
        </w:rPr>
      </w:pPr>
      <w:r>
        <w:fldChar w:fldCharType="begin"/>
      </w:r>
      <w:r>
        <w:instrText xml:space="preserve"> HYPERLINK \l "_Toc26597" </w:instrText>
      </w:r>
      <w:r>
        <w:fldChar w:fldCharType="separate"/>
      </w:r>
      <w:r>
        <w:rPr>
          <w:rFonts w:hint="eastAsia" w:ascii="仿宋" w:hAnsi="仿宋" w:eastAsia="仿宋" w:cs="仿宋"/>
          <w:b/>
          <w:bCs/>
        </w:rPr>
        <w:t>（二）部门整体支出规模、使用方向和内容</w:t>
      </w:r>
      <w:r>
        <w:rPr>
          <w:b/>
          <w:bCs/>
        </w:rPr>
        <w:tab/>
      </w:r>
      <w:r>
        <w:rPr>
          <w:b/>
          <w:bCs/>
        </w:rPr>
        <w:fldChar w:fldCharType="begin"/>
      </w:r>
      <w:r>
        <w:rPr>
          <w:b/>
          <w:bCs/>
        </w:rPr>
        <w:instrText xml:space="preserve"> PAGEREF _Toc26597 </w:instrText>
      </w:r>
      <w:r>
        <w:rPr>
          <w:b/>
          <w:bCs/>
        </w:rPr>
        <w:fldChar w:fldCharType="separate"/>
      </w:r>
      <w:r>
        <w:rPr>
          <w:b/>
          <w:bCs/>
        </w:rPr>
        <w:t>6</w:t>
      </w:r>
      <w:r>
        <w:rPr>
          <w:b/>
          <w:bCs/>
        </w:rPr>
        <w:fldChar w:fldCharType="end"/>
      </w:r>
      <w:r>
        <w:rPr>
          <w:b/>
          <w:bCs/>
        </w:rPr>
        <w:fldChar w:fldCharType="end"/>
      </w:r>
    </w:p>
    <w:p>
      <w:pPr>
        <w:pStyle w:val="10"/>
        <w:tabs>
          <w:tab w:val="right" w:leader="dot" w:pos="8306"/>
        </w:tabs>
        <w:spacing w:line="360" w:lineRule="auto"/>
        <w:rPr>
          <w:b/>
          <w:bCs/>
        </w:rPr>
      </w:pPr>
      <w:r>
        <w:fldChar w:fldCharType="begin"/>
      </w:r>
      <w:r>
        <w:instrText xml:space="preserve"> HYPERLINK \l "_Toc4887" </w:instrText>
      </w:r>
      <w:r>
        <w:fldChar w:fldCharType="separate"/>
      </w:r>
      <w:r>
        <w:rPr>
          <w:rFonts w:hint="eastAsia" w:ascii="仿宋" w:hAnsi="仿宋" w:eastAsia="仿宋" w:cs="仿宋"/>
          <w:b/>
          <w:bCs/>
        </w:rPr>
        <w:t>二、部门整体支出管理及使用情况</w:t>
      </w:r>
      <w:r>
        <w:rPr>
          <w:b/>
          <w:bCs/>
        </w:rPr>
        <w:tab/>
      </w:r>
      <w:r>
        <w:rPr>
          <w:b/>
          <w:bCs/>
        </w:rPr>
        <w:fldChar w:fldCharType="begin"/>
      </w:r>
      <w:r>
        <w:rPr>
          <w:b/>
          <w:bCs/>
        </w:rPr>
        <w:instrText xml:space="preserve"> PAGEREF _Toc4887 </w:instrText>
      </w:r>
      <w:r>
        <w:rPr>
          <w:b/>
          <w:bCs/>
        </w:rPr>
        <w:fldChar w:fldCharType="separate"/>
      </w:r>
      <w:r>
        <w:rPr>
          <w:b/>
          <w:bCs/>
        </w:rPr>
        <w:t>7</w:t>
      </w:r>
      <w:r>
        <w:rPr>
          <w:b/>
          <w:bCs/>
        </w:rPr>
        <w:fldChar w:fldCharType="end"/>
      </w:r>
      <w:r>
        <w:rPr>
          <w:b/>
          <w:bCs/>
        </w:rPr>
        <w:fldChar w:fldCharType="end"/>
      </w:r>
    </w:p>
    <w:p>
      <w:pPr>
        <w:pStyle w:val="11"/>
        <w:tabs>
          <w:tab w:val="right" w:leader="dot" w:pos="8306"/>
        </w:tabs>
        <w:spacing w:line="360" w:lineRule="auto"/>
        <w:rPr>
          <w:b/>
          <w:bCs/>
        </w:rPr>
      </w:pPr>
      <w:r>
        <w:fldChar w:fldCharType="begin"/>
      </w:r>
      <w:r>
        <w:instrText xml:space="preserve"> HYPERLINK \l "_Toc24819" </w:instrText>
      </w:r>
      <w:r>
        <w:fldChar w:fldCharType="separate"/>
      </w:r>
      <w:r>
        <w:rPr>
          <w:rFonts w:hint="eastAsia" w:ascii="仿宋" w:hAnsi="仿宋" w:eastAsia="仿宋" w:cs="仿宋"/>
          <w:b/>
          <w:bCs/>
        </w:rPr>
        <w:t>（一）基本支出管理情况</w:t>
      </w:r>
      <w:r>
        <w:rPr>
          <w:b/>
          <w:bCs/>
        </w:rPr>
        <w:tab/>
      </w:r>
      <w:r>
        <w:rPr>
          <w:b/>
          <w:bCs/>
        </w:rPr>
        <w:fldChar w:fldCharType="begin"/>
      </w:r>
      <w:r>
        <w:rPr>
          <w:b/>
          <w:bCs/>
        </w:rPr>
        <w:instrText xml:space="preserve"> PAGEREF _Toc24819 </w:instrText>
      </w:r>
      <w:r>
        <w:rPr>
          <w:b/>
          <w:bCs/>
        </w:rPr>
        <w:fldChar w:fldCharType="separate"/>
      </w:r>
      <w:r>
        <w:rPr>
          <w:b/>
          <w:bCs/>
        </w:rPr>
        <w:t>7</w:t>
      </w:r>
      <w:r>
        <w:rPr>
          <w:b/>
          <w:bCs/>
        </w:rPr>
        <w:fldChar w:fldCharType="end"/>
      </w:r>
      <w:r>
        <w:rPr>
          <w:b/>
          <w:bCs/>
        </w:rPr>
        <w:fldChar w:fldCharType="end"/>
      </w:r>
    </w:p>
    <w:p>
      <w:pPr>
        <w:pStyle w:val="7"/>
        <w:tabs>
          <w:tab w:val="right" w:leader="dot" w:pos="8306"/>
        </w:tabs>
        <w:spacing w:line="360" w:lineRule="auto"/>
        <w:rPr>
          <w:b/>
          <w:bCs/>
        </w:rPr>
      </w:pPr>
      <w:r>
        <w:fldChar w:fldCharType="begin"/>
      </w:r>
      <w:r>
        <w:instrText xml:space="preserve"> HYPERLINK \l "_Toc1338" </w:instrText>
      </w:r>
      <w:r>
        <w:fldChar w:fldCharType="separate"/>
      </w:r>
      <w:r>
        <w:rPr>
          <w:rFonts w:ascii="仿宋" w:hAnsi="仿宋" w:eastAsia="仿宋" w:cs="仿宋"/>
          <w:b/>
          <w:bCs/>
        </w:rPr>
        <w:t>1</w:t>
      </w:r>
      <w:r>
        <w:rPr>
          <w:rFonts w:hint="eastAsia" w:ascii="仿宋" w:hAnsi="仿宋" w:eastAsia="仿宋" w:cs="仿宋"/>
          <w:b/>
          <w:bCs/>
        </w:rPr>
        <w:t>、基本支出本年使用情况</w:t>
      </w:r>
      <w:r>
        <w:rPr>
          <w:b/>
          <w:bCs/>
        </w:rPr>
        <w:tab/>
      </w:r>
      <w:r>
        <w:rPr>
          <w:b/>
          <w:bCs/>
        </w:rPr>
        <w:fldChar w:fldCharType="begin"/>
      </w:r>
      <w:r>
        <w:rPr>
          <w:b/>
          <w:bCs/>
        </w:rPr>
        <w:instrText xml:space="preserve"> PAGEREF _Toc1338 </w:instrText>
      </w:r>
      <w:r>
        <w:rPr>
          <w:b/>
          <w:bCs/>
        </w:rPr>
        <w:fldChar w:fldCharType="separate"/>
      </w:r>
      <w:r>
        <w:rPr>
          <w:b/>
          <w:bCs/>
        </w:rPr>
        <w:t>7</w:t>
      </w:r>
      <w:r>
        <w:rPr>
          <w:b/>
          <w:bCs/>
        </w:rPr>
        <w:fldChar w:fldCharType="end"/>
      </w:r>
      <w:r>
        <w:rPr>
          <w:b/>
          <w:bCs/>
        </w:rPr>
        <w:fldChar w:fldCharType="end"/>
      </w:r>
    </w:p>
    <w:p>
      <w:pPr>
        <w:pStyle w:val="7"/>
        <w:tabs>
          <w:tab w:val="right" w:leader="dot" w:pos="8306"/>
        </w:tabs>
        <w:spacing w:line="360" w:lineRule="auto"/>
        <w:rPr>
          <w:b/>
          <w:bCs/>
        </w:rPr>
      </w:pPr>
      <w:r>
        <w:fldChar w:fldCharType="begin"/>
      </w:r>
      <w:r>
        <w:instrText xml:space="preserve"> HYPERLINK \l "_Toc14911" </w:instrText>
      </w:r>
      <w:r>
        <w:fldChar w:fldCharType="separate"/>
      </w:r>
      <w:r>
        <w:rPr>
          <w:rFonts w:ascii="仿宋" w:hAnsi="仿宋" w:eastAsia="仿宋" w:cs="仿宋"/>
          <w:b/>
          <w:bCs/>
        </w:rPr>
        <w:t>2</w:t>
      </w:r>
      <w:r>
        <w:rPr>
          <w:rFonts w:hint="eastAsia" w:ascii="仿宋" w:hAnsi="仿宋" w:eastAsia="仿宋" w:cs="仿宋"/>
          <w:b/>
          <w:bCs/>
        </w:rPr>
        <w:t>、本年基本支出预算执行情况</w:t>
      </w:r>
      <w:r>
        <w:rPr>
          <w:b/>
          <w:bCs/>
        </w:rPr>
        <w:tab/>
      </w:r>
      <w:r>
        <w:rPr>
          <w:b/>
          <w:bCs/>
        </w:rPr>
        <w:fldChar w:fldCharType="begin"/>
      </w:r>
      <w:r>
        <w:rPr>
          <w:b/>
          <w:bCs/>
        </w:rPr>
        <w:instrText xml:space="preserve"> PAGEREF _Toc14911 </w:instrText>
      </w:r>
      <w:r>
        <w:rPr>
          <w:b/>
          <w:bCs/>
        </w:rPr>
        <w:fldChar w:fldCharType="separate"/>
      </w:r>
      <w:r>
        <w:rPr>
          <w:b/>
          <w:bCs/>
        </w:rPr>
        <w:t>8</w:t>
      </w:r>
      <w:r>
        <w:rPr>
          <w:b/>
          <w:bCs/>
        </w:rPr>
        <w:fldChar w:fldCharType="end"/>
      </w:r>
      <w:r>
        <w:rPr>
          <w:b/>
          <w:bCs/>
        </w:rPr>
        <w:fldChar w:fldCharType="end"/>
      </w:r>
    </w:p>
    <w:p>
      <w:pPr>
        <w:pStyle w:val="7"/>
        <w:tabs>
          <w:tab w:val="right" w:leader="dot" w:pos="8306"/>
        </w:tabs>
        <w:spacing w:line="360" w:lineRule="auto"/>
        <w:rPr>
          <w:b/>
          <w:bCs/>
        </w:rPr>
      </w:pPr>
      <w:r>
        <w:fldChar w:fldCharType="begin"/>
      </w:r>
      <w:r>
        <w:instrText xml:space="preserve"> HYPERLINK \l "_Toc4941" </w:instrText>
      </w:r>
      <w:r>
        <w:fldChar w:fldCharType="separate"/>
      </w:r>
      <w:r>
        <w:rPr>
          <w:rFonts w:ascii="仿宋" w:hAnsi="仿宋" w:eastAsia="仿宋" w:cs="仿宋"/>
          <w:b/>
          <w:bCs/>
        </w:rPr>
        <w:t>3</w:t>
      </w:r>
      <w:r>
        <w:rPr>
          <w:rFonts w:hint="eastAsia" w:ascii="仿宋" w:hAnsi="仿宋" w:eastAsia="仿宋" w:cs="仿宋"/>
          <w:b/>
          <w:bCs/>
        </w:rPr>
        <w:t>、“三公经费”支出使用和管理情况</w:t>
      </w:r>
      <w:r>
        <w:rPr>
          <w:b/>
          <w:bCs/>
        </w:rPr>
        <w:tab/>
      </w:r>
      <w:r>
        <w:rPr>
          <w:b/>
          <w:bCs/>
        </w:rPr>
        <w:fldChar w:fldCharType="begin"/>
      </w:r>
      <w:r>
        <w:rPr>
          <w:b/>
          <w:bCs/>
        </w:rPr>
        <w:instrText xml:space="preserve"> PAGEREF _Toc4941 </w:instrText>
      </w:r>
      <w:r>
        <w:rPr>
          <w:b/>
          <w:bCs/>
        </w:rPr>
        <w:fldChar w:fldCharType="separate"/>
      </w:r>
      <w:r>
        <w:rPr>
          <w:b/>
          <w:bCs/>
        </w:rPr>
        <w:t>8</w:t>
      </w:r>
      <w:r>
        <w:rPr>
          <w:b/>
          <w:bCs/>
        </w:rPr>
        <w:fldChar w:fldCharType="end"/>
      </w:r>
      <w:r>
        <w:rPr>
          <w:b/>
          <w:bCs/>
        </w:rPr>
        <w:fldChar w:fldCharType="end"/>
      </w:r>
    </w:p>
    <w:p>
      <w:pPr>
        <w:pStyle w:val="11"/>
        <w:tabs>
          <w:tab w:val="right" w:leader="dot" w:pos="8306"/>
        </w:tabs>
        <w:spacing w:line="360" w:lineRule="auto"/>
        <w:rPr>
          <w:b/>
          <w:bCs/>
        </w:rPr>
      </w:pPr>
      <w:r>
        <w:fldChar w:fldCharType="begin"/>
      </w:r>
      <w:r>
        <w:instrText xml:space="preserve"> HYPERLINK \l "_Toc18109" </w:instrText>
      </w:r>
      <w:r>
        <w:fldChar w:fldCharType="separate"/>
      </w:r>
      <w:r>
        <w:rPr>
          <w:rFonts w:hint="eastAsia" w:ascii="仿宋" w:hAnsi="仿宋" w:eastAsia="仿宋"/>
          <w:b/>
          <w:bCs/>
        </w:rPr>
        <w:t>（二）</w:t>
      </w:r>
      <w:r>
        <w:rPr>
          <w:rFonts w:hint="eastAsia" w:ascii="仿宋" w:hAnsi="仿宋" w:eastAsia="仿宋" w:cs="仿宋"/>
          <w:b/>
          <w:bCs/>
        </w:rPr>
        <w:t>项目支出管理情况</w:t>
      </w:r>
      <w:r>
        <w:rPr>
          <w:b/>
          <w:bCs/>
        </w:rPr>
        <w:tab/>
      </w:r>
      <w:r>
        <w:rPr>
          <w:b/>
          <w:bCs/>
        </w:rPr>
        <w:fldChar w:fldCharType="begin"/>
      </w:r>
      <w:r>
        <w:rPr>
          <w:b/>
          <w:bCs/>
        </w:rPr>
        <w:instrText xml:space="preserve"> PAGEREF _Toc18109 </w:instrText>
      </w:r>
      <w:r>
        <w:rPr>
          <w:b/>
          <w:bCs/>
        </w:rPr>
        <w:fldChar w:fldCharType="separate"/>
      </w:r>
      <w:r>
        <w:rPr>
          <w:b/>
          <w:bCs/>
        </w:rPr>
        <w:t>9</w:t>
      </w:r>
      <w:r>
        <w:rPr>
          <w:b/>
          <w:bCs/>
        </w:rPr>
        <w:fldChar w:fldCharType="end"/>
      </w:r>
      <w:r>
        <w:rPr>
          <w:b/>
          <w:bCs/>
        </w:rPr>
        <w:fldChar w:fldCharType="end"/>
      </w:r>
    </w:p>
    <w:p>
      <w:pPr>
        <w:pStyle w:val="7"/>
        <w:tabs>
          <w:tab w:val="right" w:leader="dot" w:pos="8306"/>
        </w:tabs>
        <w:spacing w:line="360" w:lineRule="auto"/>
        <w:rPr>
          <w:b/>
          <w:bCs/>
        </w:rPr>
      </w:pPr>
      <w:r>
        <w:fldChar w:fldCharType="begin"/>
      </w:r>
      <w:r>
        <w:instrText xml:space="preserve"> HYPERLINK \l "_Toc15315" </w:instrText>
      </w:r>
      <w:r>
        <w:fldChar w:fldCharType="separate"/>
      </w:r>
      <w:r>
        <w:rPr>
          <w:rFonts w:ascii="仿宋" w:hAnsi="仿宋" w:eastAsia="仿宋"/>
          <w:b/>
          <w:bCs/>
        </w:rPr>
        <w:t>1、</w:t>
      </w:r>
      <w:r>
        <w:rPr>
          <w:rFonts w:hint="eastAsia" w:ascii="仿宋" w:hAnsi="仿宋" w:eastAsia="仿宋" w:cs="仿宋"/>
          <w:b/>
          <w:bCs/>
        </w:rPr>
        <w:t>项目资金本年使用情况</w:t>
      </w:r>
      <w:r>
        <w:rPr>
          <w:b/>
          <w:bCs/>
        </w:rPr>
        <w:tab/>
      </w:r>
      <w:r>
        <w:rPr>
          <w:b/>
          <w:bCs/>
        </w:rPr>
        <w:fldChar w:fldCharType="begin"/>
      </w:r>
      <w:r>
        <w:rPr>
          <w:b/>
          <w:bCs/>
        </w:rPr>
        <w:instrText xml:space="preserve"> PAGEREF _Toc15315 </w:instrText>
      </w:r>
      <w:r>
        <w:rPr>
          <w:b/>
          <w:bCs/>
        </w:rPr>
        <w:fldChar w:fldCharType="separate"/>
      </w:r>
      <w:r>
        <w:rPr>
          <w:b/>
          <w:bCs/>
        </w:rPr>
        <w:t>9</w:t>
      </w:r>
      <w:r>
        <w:rPr>
          <w:b/>
          <w:bCs/>
        </w:rPr>
        <w:fldChar w:fldCharType="end"/>
      </w:r>
      <w:r>
        <w:rPr>
          <w:b/>
          <w:bCs/>
        </w:rPr>
        <w:fldChar w:fldCharType="end"/>
      </w:r>
    </w:p>
    <w:p>
      <w:pPr>
        <w:pStyle w:val="7"/>
        <w:tabs>
          <w:tab w:val="right" w:leader="dot" w:pos="8306"/>
        </w:tabs>
        <w:spacing w:line="360" w:lineRule="auto"/>
        <w:rPr>
          <w:b/>
          <w:bCs/>
        </w:rPr>
      </w:pPr>
      <w:r>
        <w:fldChar w:fldCharType="begin"/>
      </w:r>
      <w:r>
        <w:instrText xml:space="preserve"> HYPERLINK \l "_Toc3281" </w:instrText>
      </w:r>
      <w:r>
        <w:fldChar w:fldCharType="separate"/>
      </w:r>
      <w:r>
        <w:rPr>
          <w:rFonts w:ascii="仿宋" w:hAnsi="仿宋" w:eastAsia="仿宋" w:cs="仿宋"/>
          <w:b/>
          <w:bCs/>
        </w:rPr>
        <w:t>2</w:t>
      </w:r>
      <w:r>
        <w:rPr>
          <w:rFonts w:hint="eastAsia" w:ascii="仿宋" w:hAnsi="仿宋" w:eastAsia="仿宋" w:cs="仿宋"/>
          <w:b/>
          <w:bCs/>
        </w:rPr>
        <w:t>、本年项目资金实际使用情况分析</w:t>
      </w:r>
      <w:r>
        <w:rPr>
          <w:b/>
          <w:bCs/>
        </w:rPr>
        <w:tab/>
      </w:r>
      <w:r>
        <w:rPr>
          <w:b/>
          <w:bCs/>
        </w:rPr>
        <w:fldChar w:fldCharType="begin"/>
      </w:r>
      <w:r>
        <w:rPr>
          <w:b/>
          <w:bCs/>
        </w:rPr>
        <w:instrText xml:space="preserve"> PAGEREF _Toc3281 </w:instrText>
      </w:r>
      <w:r>
        <w:rPr>
          <w:b/>
          <w:bCs/>
        </w:rPr>
        <w:fldChar w:fldCharType="separate"/>
      </w:r>
      <w:r>
        <w:rPr>
          <w:b/>
          <w:bCs/>
        </w:rPr>
        <w:t>9</w:t>
      </w:r>
      <w:r>
        <w:rPr>
          <w:b/>
          <w:bCs/>
        </w:rPr>
        <w:fldChar w:fldCharType="end"/>
      </w:r>
      <w:r>
        <w:rPr>
          <w:b/>
          <w:bCs/>
        </w:rPr>
        <w:fldChar w:fldCharType="end"/>
      </w:r>
    </w:p>
    <w:p>
      <w:pPr>
        <w:pStyle w:val="7"/>
        <w:tabs>
          <w:tab w:val="right" w:leader="dot" w:pos="8306"/>
        </w:tabs>
        <w:spacing w:line="360" w:lineRule="auto"/>
        <w:rPr>
          <w:b/>
          <w:bCs/>
        </w:rPr>
      </w:pPr>
      <w:r>
        <w:fldChar w:fldCharType="begin"/>
      </w:r>
      <w:r>
        <w:instrText xml:space="preserve"> HYPERLINK \l "_Toc11715" </w:instrText>
      </w:r>
      <w:r>
        <w:fldChar w:fldCharType="separate"/>
      </w:r>
      <w:r>
        <w:rPr>
          <w:rFonts w:ascii="仿宋" w:hAnsi="仿宋" w:eastAsia="仿宋" w:cs="仿宋"/>
          <w:b/>
          <w:bCs/>
        </w:rPr>
        <w:t>3</w:t>
      </w:r>
      <w:r>
        <w:rPr>
          <w:rFonts w:hint="eastAsia" w:ascii="仿宋" w:hAnsi="仿宋" w:eastAsia="仿宋" w:cs="仿宋"/>
          <w:b/>
          <w:bCs/>
        </w:rPr>
        <w:t>、项目资金管理情况分析</w:t>
      </w:r>
      <w:r>
        <w:rPr>
          <w:b/>
          <w:bCs/>
        </w:rPr>
        <w:tab/>
      </w:r>
      <w:r>
        <w:rPr>
          <w:b/>
          <w:bCs/>
        </w:rPr>
        <w:fldChar w:fldCharType="begin"/>
      </w:r>
      <w:r>
        <w:rPr>
          <w:b/>
          <w:bCs/>
        </w:rPr>
        <w:instrText xml:space="preserve"> PAGEREF _Toc11715 </w:instrText>
      </w:r>
      <w:r>
        <w:rPr>
          <w:b/>
          <w:bCs/>
        </w:rPr>
        <w:fldChar w:fldCharType="separate"/>
      </w:r>
      <w:r>
        <w:rPr>
          <w:b/>
          <w:bCs/>
        </w:rPr>
        <w:t>9</w:t>
      </w:r>
      <w:r>
        <w:rPr>
          <w:b/>
          <w:bCs/>
        </w:rPr>
        <w:fldChar w:fldCharType="end"/>
      </w:r>
      <w:r>
        <w:rPr>
          <w:b/>
          <w:bCs/>
        </w:rPr>
        <w:fldChar w:fldCharType="end"/>
      </w:r>
    </w:p>
    <w:p>
      <w:pPr>
        <w:pStyle w:val="10"/>
        <w:tabs>
          <w:tab w:val="right" w:leader="dot" w:pos="8306"/>
        </w:tabs>
        <w:spacing w:line="360" w:lineRule="auto"/>
        <w:rPr>
          <w:b/>
          <w:bCs/>
        </w:rPr>
      </w:pPr>
      <w:r>
        <w:fldChar w:fldCharType="begin"/>
      </w:r>
      <w:r>
        <w:instrText xml:space="preserve"> HYPERLINK \l "_Toc24860" </w:instrText>
      </w:r>
      <w:r>
        <w:fldChar w:fldCharType="separate"/>
      </w:r>
      <w:r>
        <w:rPr>
          <w:rFonts w:hint="eastAsia" w:ascii="仿宋" w:hAnsi="仿宋" w:eastAsia="仿宋" w:cs="仿宋"/>
          <w:b/>
          <w:bCs/>
        </w:rPr>
        <w:t>三、部门项目组织实施情况</w:t>
      </w:r>
      <w:r>
        <w:rPr>
          <w:b/>
          <w:bCs/>
        </w:rPr>
        <w:tab/>
      </w:r>
      <w:r>
        <w:rPr>
          <w:b/>
          <w:bCs/>
        </w:rPr>
        <w:fldChar w:fldCharType="begin"/>
      </w:r>
      <w:r>
        <w:rPr>
          <w:b/>
          <w:bCs/>
        </w:rPr>
        <w:instrText xml:space="preserve"> PAGEREF _Toc24860 </w:instrText>
      </w:r>
      <w:r>
        <w:rPr>
          <w:b/>
          <w:bCs/>
        </w:rPr>
        <w:fldChar w:fldCharType="separate"/>
      </w:r>
      <w:r>
        <w:rPr>
          <w:b/>
          <w:bCs/>
        </w:rPr>
        <w:t>10</w:t>
      </w:r>
      <w:r>
        <w:rPr>
          <w:b/>
          <w:bCs/>
        </w:rPr>
        <w:fldChar w:fldCharType="end"/>
      </w:r>
      <w:r>
        <w:rPr>
          <w:b/>
          <w:bCs/>
        </w:rPr>
        <w:fldChar w:fldCharType="end"/>
      </w:r>
    </w:p>
    <w:p>
      <w:pPr>
        <w:pStyle w:val="11"/>
        <w:tabs>
          <w:tab w:val="right" w:leader="dot" w:pos="8306"/>
        </w:tabs>
        <w:spacing w:line="360" w:lineRule="auto"/>
        <w:rPr>
          <w:b/>
          <w:bCs/>
        </w:rPr>
      </w:pPr>
      <w:r>
        <w:fldChar w:fldCharType="begin"/>
      </w:r>
      <w:r>
        <w:instrText xml:space="preserve"> HYPERLINK \l "_Toc20154" </w:instrText>
      </w:r>
      <w:r>
        <w:fldChar w:fldCharType="separate"/>
      </w:r>
      <w:r>
        <w:rPr>
          <w:rFonts w:hint="eastAsia" w:ascii="仿宋" w:hAnsi="仿宋" w:eastAsia="仿宋" w:cs="仿宋"/>
          <w:b/>
          <w:bCs/>
        </w:rPr>
        <w:t>（一）项目组织情况分析</w:t>
      </w:r>
      <w:r>
        <w:rPr>
          <w:b/>
          <w:bCs/>
        </w:rPr>
        <w:tab/>
      </w:r>
      <w:r>
        <w:rPr>
          <w:b/>
          <w:bCs/>
        </w:rPr>
        <w:fldChar w:fldCharType="begin"/>
      </w:r>
      <w:r>
        <w:rPr>
          <w:b/>
          <w:bCs/>
        </w:rPr>
        <w:instrText xml:space="preserve"> PAGEREF _Toc20154 </w:instrText>
      </w:r>
      <w:r>
        <w:rPr>
          <w:b/>
          <w:bCs/>
        </w:rPr>
        <w:fldChar w:fldCharType="separate"/>
      </w:r>
      <w:r>
        <w:rPr>
          <w:b/>
          <w:bCs/>
        </w:rPr>
        <w:t>10</w:t>
      </w:r>
      <w:r>
        <w:rPr>
          <w:b/>
          <w:bCs/>
        </w:rPr>
        <w:fldChar w:fldCharType="end"/>
      </w:r>
      <w:r>
        <w:rPr>
          <w:b/>
          <w:bCs/>
        </w:rPr>
        <w:fldChar w:fldCharType="end"/>
      </w:r>
    </w:p>
    <w:p>
      <w:pPr>
        <w:pStyle w:val="11"/>
        <w:tabs>
          <w:tab w:val="right" w:leader="dot" w:pos="8306"/>
        </w:tabs>
        <w:spacing w:line="360" w:lineRule="auto"/>
        <w:rPr>
          <w:b/>
          <w:bCs/>
        </w:rPr>
      </w:pPr>
      <w:r>
        <w:fldChar w:fldCharType="begin"/>
      </w:r>
      <w:r>
        <w:instrText xml:space="preserve"> HYPERLINK \l "_Toc20563" </w:instrText>
      </w:r>
      <w:r>
        <w:fldChar w:fldCharType="separate"/>
      </w:r>
      <w:r>
        <w:rPr>
          <w:rFonts w:hint="eastAsia" w:ascii="仿宋" w:hAnsi="仿宋" w:eastAsia="仿宋" w:cs="仿宋"/>
          <w:b/>
          <w:bCs/>
        </w:rPr>
        <w:t>（二）项目管理情况分析</w:t>
      </w:r>
      <w:r>
        <w:rPr>
          <w:b/>
          <w:bCs/>
        </w:rPr>
        <w:tab/>
      </w:r>
      <w:r>
        <w:rPr>
          <w:b/>
          <w:bCs/>
        </w:rPr>
        <w:fldChar w:fldCharType="begin"/>
      </w:r>
      <w:r>
        <w:rPr>
          <w:b/>
          <w:bCs/>
        </w:rPr>
        <w:instrText xml:space="preserve"> PAGEREF _Toc20563 </w:instrText>
      </w:r>
      <w:r>
        <w:rPr>
          <w:b/>
          <w:bCs/>
        </w:rPr>
        <w:fldChar w:fldCharType="separate"/>
      </w:r>
      <w:r>
        <w:rPr>
          <w:b/>
          <w:bCs/>
        </w:rPr>
        <w:t>11</w:t>
      </w:r>
      <w:r>
        <w:rPr>
          <w:b/>
          <w:bCs/>
        </w:rPr>
        <w:fldChar w:fldCharType="end"/>
      </w:r>
      <w:r>
        <w:rPr>
          <w:b/>
          <w:bCs/>
        </w:rPr>
        <w:fldChar w:fldCharType="end"/>
      </w:r>
    </w:p>
    <w:p>
      <w:pPr>
        <w:pStyle w:val="10"/>
        <w:tabs>
          <w:tab w:val="right" w:leader="dot" w:pos="8306"/>
        </w:tabs>
        <w:spacing w:line="360" w:lineRule="auto"/>
        <w:rPr>
          <w:b/>
          <w:bCs/>
        </w:rPr>
      </w:pPr>
      <w:r>
        <w:fldChar w:fldCharType="begin"/>
      </w:r>
      <w:r>
        <w:instrText xml:space="preserve"> HYPERLINK \l "_Toc2012" </w:instrText>
      </w:r>
      <w:r>
        <w:fldChar w:fldCharType="separate"/>
      </w:r>
      <w:r>
        <w:rPr>
          <w:rFonts w:hint="eastAsia" w:ascii="仿宋" w:hAnsi="仿宋" w:eastAsia="仿宋" w:cs="仿宋"/>
          <w:b/>
          <w:bCs/>
        </w:rPr>
        <w:t>四、资产管理情况</w:t>
      </w:r>
      <w:r>
        <w:rPr>
          <w:b/>
          <w:bCs/>
        </w:rPr>
        <w:tab/>
      </w:r>
      <w:r>
        <w:rPr>
          <w:b/>
          <w:bCs/>
        </w:rPr>
        <w:fldChar w:fldCharType="begin"/>
      </w:r>
      <w:r>
        <w:rPr>
          <w:b/>
          <w:bCs/>
        </w:rPr>
        <w:instrText xml:space="preserve"> PAGEREF _Toc2012 </w:instrText>
      </w:r>
      <w:r>
        <w:rPr>
          <w:b/>
          <w:bCs/>
        </w:rPr>
        <w:fldChar w:fldCharType="separate"/>
      </w:r>
      <w:r>
        <w:rPr>
          <w:b/>
          <w:bCs/>
        </w:rPr>
        <w:t>16</w:t>
      </w:r>
      <w:r>
        <w:rPr>
          <w:b/>
          <w:bCs/>
        </w:rPr>
        <w:fldChar w:fldCharType="end"/>
      </w:r>
      <w:r>
        <w:rPr>
          <w:b/>
          <w:bCs/>
        </w:rPr>
        <w:fldChar w:fldCharType="end"/>
      </w:r>
    </w:p>
    <w:p>
      <w:pPr>
        <w:pStyle w:val="10"/>
        <w:tabs>
          <w:tab w:val="right" w:leader="dot" w:pos="8306"/>
        </w:tabs>
        <w:spacing w:line="360" w:lineRule="auto"/>
        <w:rPr>
          <w:b/>
          <w:bCs/>
        </w:rPr>
      </w:pPr>
      <w:r>
        <w:fldChar w:fldCharType="begin"/>
      </w:r>
      <w:r>
        <w:instrText xml:space="preserve"> HYPERLINK \l "_Toc6446" </w:instrText>
      </w:r>
      <w:r>
        <w:fldChar w:fldCharType="separate"/>
      </w:r>
      <w:r>
        <w:rPr>
          <w:rFonts w:hint="eastAsia" w:ascii="仿宋" w:hAnsi="仿宋" w:eastAsia="仿宋" w:cs="仿宋"/>
          <w:b/>
          <w:bCs/>
        </w:rPr>
        <w:t>五、部门整体支出绩效情况</w:t>
      </w:r>
      <w:r>
        <w:rPr>
          <w:b/>
          <w:bCs/>
        </w:rPr>
        <w:tab/>
      </w:r>
      <w:r>
        <w:rPr>
          <w:b/>
          <w:bCs/>
        </w:rPr>
        <w:fldChar w:fldCharType="begin"/>
      </w:r>
      <w:r>
        <w:rPr>
          <w:b/>
          <w:bCs/>
        </w:rPr>
        <w:instrText xml:space="preserve"> PAGEREF _Toc6446 </w:instrText>
      </w:r>
      <w:r>
        <w:rPr>
          <w:b/>
          <w:bCs/>
        </w:rPr>
        <w:fldChar w:fldCharType="separate"/>
      </w:r>
      <w:r>
        <w:rPr>
          <w:b/>
          <w:bCs/>
        </w:rPr>
        <w:t>17</w:t>
      </w:r>
      <w:r>
        <w:rPr>
          <w:b/>
          <w:bCs/>
        </w:rPr>
        <w:fldChar w:fldCharType="end"/>
      </w:r>
      <w:r>
        <w:rPr>
          <w:b/>
          <w:bCs/>
        </w:rPr>
        <w:fldChar w:fldCharType="end"/>
      </w:r>
    </w:p>
    <w:p>
      <w:pPr>
        <w:pStyle w:val="11"/>
        <w:tabs>
          <w:tab w:val="right" w:leader="dot" w:pos="8306"/>
        </w:tabs>
        <w:spacing w:line="360" w:lineRule="auto"/>
        <w:rPr>
          <w:b/>
          <w:bCs/>
        </w:rPr>
      </w:pPr>
      <w:r>
        <w:fldChar w:fldCharType="begin"/>
      </w:r>
      <w:r>
        <w:instrText xml:space="preserve"> HYPERLINK \l "_Toc13988" </w:instrText>
      </w:r>
      <w:r>
        <w:fldChar w:fldCharType="separate"/>
      </w:r>
      <w:r>
        <w:rPr>
          <w:rFonts w:hint="eastAsia" w:ascii="仿宋" w:hAnsi="仿宋" w:eastAsia="仿宋" w:cs="仿宋"/>
          <w:b/>
          <w:bCs/>
        </w:rPr>
        <w:t>（一）经济性评价</w:t>
      </w:r>
      <w:r>
        <w:rPr>
          <w:b/>
          <w:bCs/>
        </w:rPr>
        <w:tab/>
      </w:r>
      <w:r>
        <w:rPr>
          <w:b/>
          <w:bCs/>
        </w:rPr>
        <w:fldChar w:fldCharType="begin"/>
      </w:r>
      <w:r>
        <w:rPr>
          <w:b/>
          <w:bCs/>
        </w:rPr>
        <w:instrText xml:space="preserve"> PAGEREF _Toc13988 </w:instrText>
      </w:r>
      <w:r>
        <w:rPr>
          <w:b/>
          <w:bCs/>
        </w:rPr>
        <w:fldChar w:fldCharType="separate"/>
      </w:r>
      <w:r>
        <w:rPr>
          <w:b/>
          <w:bCs/>
        </w:rPr>
        <w:t>17</w:t>
      </w:r>
      <w:r>
        <w:rPr>
          <w:b/>
          <w:bCs/>
        </w:rPr>
        <w:fldChar w:fldCharType="end"/>
      </w:r>
      <w:r>
        <w:rPr>
          <w:b/>
          <w:bCs/>
        </w:rPr>
        <w:fldChar w:fldCharType="end"/>
      </w:r>
    </w:p>
    <w:p>
      <w:pPr>
        <w:pStyle w:val="11"/>
        <w:tabs>
          <w:tab w:val="right" w:leader="dot" w:pos="8306"/>
        </w:tabs>
        <w:spacing w:line="360" w:lineRule="auto"/>
        <w:rPr>
          <w:b/>
          <w:bCs/>
        </w:rPr>
      </w:pPr>
      <w:r>
        <w:fldChar w:fldCharType="begin"/>
      </w:r>
      <w:r>
        <w:instrText xml:space="preserve"> HYPERLINK \l "_Toc15985" </w:instrText>
      </w:r>
      <w:r>
        <w:fldChar w:fldCharType="separate"/>
      </w:r>
      <w:r>
        <w:rPr>
          <w:rFonts w:hint="eastAsia" w:ascii="仿宋" w:hAnsi="仿宋" w:eastAsia="仿宋" w:cs="仿宋"/>
          <w:b/>
          <w:bCs/>
        </w:rPr>
        <w:t>（二）效率性和有效性评价</w:t>
      </w:r>
      <w:r>
        <w:rPr>
          <w:b/>
          <w:bCs/>
        </w:rPr>
        <w:tab/>
      </w:r>
      <w:r>
        <w:rPr>
          <w:b/>
          <w:bCs/>
        </w:rPr>
        <w:fldChar w:fldCharType="begin"/>
      </w:r>
      <w:r>
        <w:rPr>
          <w:b/>
          <w:bCs/>
        </w:rPr>
        <w:instrText xml:space="preserve"> PAGEREF _Toc15985 </w:instrText>
      </w:r>
      <w:r>
        <w:rPr>
          <w:b/>
          <w:bCs/>
        </w:rPr>
        <w:fldChar w:fldCharType="separate"/>
      </w:r>
      <w:r>
        <w:rPr>
          <w:b/>
          <w:bCs/>
        </w:rPr>
        <w:t>18</w:t>
      </w:r>
      <w:r>
        <w:rPr>
          <w:b/>
          <w:bCs/>
        </w:rPr>
        <w:fldChar w:fldCharType="end"/>
      </w:r>
      <w:r>
        <w:rPr>
          <w:b/>
          <w:bCs/>
        </w:rPr>
        <w:fldChar w:fldCharType="end"/>
      </w:r>
    </w:p>
    <w:p>
      <w:pPr>
        <w:pStyle w:val="11"/>
        <w:tabs>
          <w:tab w:val="right" w:leader="dot" w:pos="8306"/>
        </w:tabs>
        <w:spacing w:line="360" w:lineRule="auto"/>
        <w:rPr>
          <w:b/>
          <w:bCs/>
        </w:rPr>
      </w:pPr>
      <w:r>
        <w:fldChar w:fldCharType="begin"/>
      </w:r>
      <w:r>
        <w:instrText xml:space="preserve"> HYPERLINK \l "_Toc18727" </w:instrText>
      </w:r>
      <w:r>
        <w:fldChar w:fldCharType="separate"/>
      </w:r>
      <w:r>
        <w:rPr>
          <w:rFonts w:hint="eastAsia" w:ascii="仿宋" w:hAnsi="仿宋" w:eastAsia="仿宋" w:cs="仿宋"/>
          <w:b/>
          <w:bCs/>
        </w:rPr>
        <w:t>（三）可持续性评价</w:t>
      </w:r>
      <w:r>
        <w:rPr>
          <w:b/>
          <w:bCs/>
        </w:rPr>
        <w:tab/>
      </w:r>
      <w:r>
        <w:rPr>
          <w:b/>
          <w:bCs/>
        </w:rPr>
        <w:fldChar w:fldCharType="begin"/>
      </w:r>
      <w:r>
        <w:rPr>
          <w:b/>
          <w:bCs/>
        </w:rPr>
        <w:instrText xml:space="preserve"> PAGEREF _Toc18727 </w:instrText>
      </w:r>
      <w:r>
        <w:rPr>
          <w:b/>
          <w:bCs/>
        </w:rPr>
        <w:fldChar w:fldCharType="separate"/>
      </w:r>
      <w:r>
        <w:rPr>
          <w:b/>
          <w:bCs/>
        </w:rPr>
        <w:t>18</w:t>
      </w:r>
      <w:r>
        <w:rPr>
          <w:b/>
          <w:bCs/>
        </w:rPr>
        <w:fldChar w:fldCharType="end"/>
      </w:r>
      <w:r>
        <w:rPr>
          <w:b/>
          <w:bCs/>
        </w:rPr>
        <w:fldChar w:fldCharType="end"/>
      </w:r>
    </w:p>
    <w:p>
      <w:pPr>
        <w:pStyle w:val="10"/>
        <w:tabs>
          <w:tab w:val="right" w:leader="dot" w:pos="8306"/>
        </w:tabs>
        <w:spacing w:line="360" w:lineRule="auto"/>
        <w:rPr>
          <w:b/>
          <w:bCs/>
        </w:rPr>
      </w:pPr>
      <w:r>
        <w:fldChar w:fldCharType="begin"/>
      </w:r>
      <w:r>
        <w:instrText xml:space="preserve"> HYPERLINK \l "_Toc15006" </w:instrText>
      </w:r>
      <w:r>
        <w:fldChar w:fldCharType="separate"/>
      </w:r>
      <w:r>
        <w:rPr>
          <w:rFonts w:hint="eastAsia" w:ascii="仿宋" w:hAnsi="仿宋" w:eastAsia="仿宋" w:cs="仿宋"/>
          <w:b/>
          <w:bCs/>
        </w:rPr>
        <w:t>六、存在的主要问题</w:t>
      </w:r>
      <w:r>
        <w:rPr>
          <w:b/>
          <w:bCs/>
        </w:rPr>
        <w:tab/>
      </w:r>
      <w:r>
        <w:rPr>
          <w:b/>
          <w:bCs/>
        </w:rPr>
        <w:fldChar w:fldCharType="begin"/>
      </w:r>
      <w:r>
        <w:rPr>
          <w:b/>
          <w:bCs/>
        </w:rPr>
        <w:instrText xml:space="preserve"> PAGEREF _Toc15006 </w:instrText>
      </w:r>
      <w:r>
        <w:rPr>
          <w:b/>
          <w:bCs/>
        </w:rPr>
        <w:fldChar w:fldCharType="separate"/>
      </w:r>
      <w:r>
        <w:rPr>
          <w:b/>
          <w:bCs/>
        </w:rPr>
        <w:t>20</w:t>
      </w:r>
      <w:r>
        <w:rPr>
          <w:b/>
          <w:bCs/>
        </w:rPr>
        <w:fldChar w:fldCharType="end"/>
      </w:r>
      <w:r>
        <w:rPr>
          <w:b/>
          <w:bCs/>
        </w:rPr>
        <w:fldChar w:fldCharType="end"/>
      </w:r>
    </w:p>
    <w:p>
      <w:pPr>
        <w:pStyle w:val="10"/>
        <w:tabs>
          <w:tab w:val="right" w:leader="dot" w:pos="8306"/>
        </w:tabs>
        <w:spacing w:line="360" w:lineRule="auto"/>
        <w:rPr>
          <w:b/>
          <w:bCs/>
        </w:rPr>
      </w:pPr>
      <w:r>
        <w:fldChar w:fldCharType="begin"/>
      </w:r>
      <w:r>
        <w:instrText xml:space="preserve"> HYPERLINK \l "_Toc2466" </w:instrText>
      </w:r>
      <w:r>
        <w:fldChar w:fldCharType="separate"/>
      </w:r>
      <w:r>
        <w:rPr>
          <w:rFonts w:hint="eastAsia"/>
          <w:b/>
          <w:bCs/>
        </w:rPr>
        <w:t>七、改进措施和有关建议</w:t>
      </w:r>
      <w:r>
        <w:rPr>
          <w:b/>
          <w:bCs/>
        </w:rPr>
        <w:tab/>
      </w:r>
      <w:r>
        <w:rPr>
          <w:b/>
          <w:bCs/>
        </w:rPr>
        <w:fldChar w:fldCharType="begin"/>
      </w:r>
      <w:r>
        <w:rPr>
          <w:b/>
          <w:bCs/>
        </w:rPr>
        <w:instrText xml:space="preserve"> PAGEREF _Toc2466 </w:instrText>
      </w:r>
      <w:r>
        <w:rPr>
          <w:b/>
          <w:bCs/>
        </w:rPr>
        <w:fldChar w:fldCharType="separate"/>
      </w:r>
      <w:r>
        <w:rPr>
          <w:b/>
          <w:bCs/>
        </w:rPr>
        <w:t>21</w:t>
      </w:r>
      <w:r>
        <w:rPr>
          <w:b/>
          <w:bCs/>
        </w:rPr>
        <w:fldChar w:fldCharType="end"/>
      </w:r>
      <w:r>
        <w:rPr>
          <w:b/>
          <w:bCs/>
        </w:rPr>
        <w:fldChar w:fldCharType="end"/>
      </w:r>
    </w:p>
    <w:p>
      <w:pPr>
        <w:pStyle w:val="11"/>
        <w:tabs>
          <w:tab w:val="right" w:leader="dot" w:pos="8306"/>
        </w:tabs>
        <w:spacing w:line="360" w:lineRule="auto"/>
        <w:rPr>
          <w:b/>
          <w:bCs/>
        </w:rPr>
      </w:pPr>
      <w:r>
        <w:fldChar w:fldCharType="begin"/>
      </w:r>
      <w:r>
        <w:instrText xml:space="preserve"> HYPERLINK \l "_Toc27087" </w:instrText>
      </w:r>
      <w:r>
        <w:fldChar w:fldCharType="separate"/>
      </w:r>
      <w:r>
        <w:rPr>
          <w:rFonts w:hint="eastAsia" w:ascii="仿宋" w:hAnsi="仿宋" w:eastAsia="仿宋" w:cs="仿宋"/>
          <w:b/>
          <w:bCs/>
        </w:rPr>
        <w:t>附件1部门整体支出绩效评价基础数据表</w:t>
      </w:r>
      <w:r>
        <w:rPr>
          <w:b/>
          <w:bCs/>
        </w:rPr>
        <w:tab/>
      </w:r>
      <w:r>
        <w:rPr>
          <w:b/>
          <w:bCs/>
        </w:rPr>
        <w:fldChar w:fldCharType="begin"/>
      </w:r>
      <w:r>
        <w:rPr>
          <w:b/>
          <w:bCs/>
        </w:rPr>
        <w:instrText xml:space="preserve"> PAGEREF _Toc27087 </w:instrText>
      </w:r>
      <w:r>
        <w:rPr>
          <w:b/>
          <w:bCs/>
        </w:rPr>
        <w:fldChar w:fldCharType="separate"/>
      </w:r>
      <w:r>
        <w:rPr>
          <w:b/>
          <w:bCs/>
        </w:rPr>
        <w:t>23</w:t>
      </w:r>
      <w:r>
        <w:rPr>
          <w:b/>
          <w:bCs/>
        </w:rPr>
        <w:fldChar w:fldCharType="end"/>
      </w:r>
      <w:r>
        <w:rPr>
          <w:b/>
          <w:bCs/>
        </w:rPr>
        <w:fldChar w:fldCharType="end"/>
      </w:r>
    </w:p>
    <w:p>
      <w:pPr>
        <w:pStyle w:val="11"/>
        <w:tabs>
          <w:tab w:val="right" w:leader="dot" w:pos="8306"/>
        </w:tabs>
        <w:spacing w:line="360" w:lineRule="auto"/>
        <w:rPr>
          <w:b/>
          <w:bCs/>
        </w:rPr>
      </w:pPr>
      <w:r>
        <w:fldChar w:fldCharType="begin"/>
      </w:r>
      <w:r>
        <w:instrText xml:space="preserve"> HYPERLINK \l "_Toc31562" </w:instrText>
      </w:r>
      <w:r>
        <w:fldChar w:fldCharType="separate"/>
      </w:r>
      <w:r>
        <w:rPr>
          <w:rFonts w:hint="eastAsia"/>
          <w:b/>
          <w:bCs/>
        </w:rPr>
        <w:t>附件2部门整体支出绩效自评共性指标表</w:t>
      </w:r>
      <w:r>
        <w:rPr>
          <w:b/>
          <w:bCs/>
        </w:rPr>
        <w:tab/>
      </w:r>
      <w:r>
        <w:rPr>
          <w:b/>
          <w:bCs/>
        </w:rPr>
        <w:fldChar w:fldCharType="begin"/>
      </w:r>
      <w:r>
        <w:rPr>
          <w:b/>
          <w:bCs/>
        </w:rPr>
        <w:instrText xml:space="preserve"> PAGEREF _Toc31562 </w:instrText>
      </w:r>
      <w:r>
        <w:rPr>
          <w:b/>
          <w:bCs/>
        </w:rPr>
        <w:fldChar w:fldCharType="separate"/>
      </w:r>
      <w:r>
        <w:rPr>
          <w:b/>
          <w:bCs/>
        </w:rPr>
        <w:t>24</w:t>
      </w:r>
      <w:r>
        <w:rPr>
          <w:b/>
          <w:bCs/>
        </w:rPr>
        <w:fldChar w:fldCharType="end"/>
      </w:r>
      <w:r>
        <w:rPr>
          <w:b/>
          <w:bCs/>
        </w:rPr>
        <w:fldChar w:fldCharType="end"/>
      </w:r>
    </w:p>
    <w:p>
      <w:pPr>
        <w:spacing w:line="360" w:lineRule="auto"/>
        <w:rPr>
          <w:rFonts w:ascii="仿宋" w:hAnsi="仿宋" w:eastAsia="仿宋" w:cs="仿宋"/>
          <w:b/>
          <w:bCs/>
        </w:rPr>
      </w:pPr>
      <w:r>
        <w:rPr>
          <w:rFonts w:ascii="仿宋" w:hAnsi="仿宋" w:eastAsia="仿宋" w:cs="仿宋"/>
          <w:b/>
          <w:bCs/>
        </w:rPr>
        <w:fldChar w:fldCharType="end"/>
      </w:r>
    </w:p>
    <w:p>
      <w:pPr>
        <w:spacing w:line="360" w:lineRule="auto"/>
        <w:jc w:val="center"/>
        <w:rPr>
          <w:rFonts w:ascii="仿宋" w:hAnsi="仿宋" w:eastAsia="仿宋" w:cs="仿宋"/>
          <w:b/>
          <w:bCs/>
          <w:sz w:val="44"/>
          <w:szCs w:val="44"/>
        </w:rPr>
        <w:sectPr>
          <w:pgSz w:w="11906" w:h="16838"/>
          <w:pgMar w:top="1440" w:right="1800" w:bottom="1440" w:left="1800" w:header="851" w:footer="992" w:gutter="0"/>
          <w:cols w:space="425" w:num="1"/>
          <w:docGrid w:type="lines" w:linePitch="312" w:charSpace="0"/>
        </w:sectPr>
      </w:pPr>
    </w:p>
    <w:p>
      <w:pPr>
        <w:jc w:val="center"/>
        <w:rPr>
          <w:rFonts w:ascii="仿宋" w:hAnsi="仿宋" w:eastAsia="仿宋" w:cs="仿宋"/>
          <w:b/>
          <w:bCs/>
          <w:sz w:val="44"/>
          <w:szCs w:val="44"/>
        </w:rPr>
      </w:pPr>
      <w:r>
        <w:rPr>
          <w:rFonts w:hint="eastAsia" w:ascii="仿宋" w:hAnsi="仿宋" w:eastAsia="仿宋" w:cs="仿宋"/>
          <w:b/>
          <w:bCs/>
          <w:sz w:val="44"/>
          <w:szCs w:val="44"/>
        </w:rPr>
        <w:t>部门整体支出绩效报告</w:t>
      </w:r>
    </w:p>
    <w:p>
      <w:pPr>
        <w:jc w:val="center"/>
        <w:rPr>
          <w:rFonts w:ascii="仿宋" w:hAnsi="仿宋" w:eastAsia="仿宋" w:cs="仿宋"/>
          <w:b/>
          <w:bCs/>
          <w:sz w:val="44"/>
          <w:szCs w:val="44"/>
        </w:rPr>
      </w:pP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为加强财政支出管理，强化项目单位责任意识，进一步完善专项资金管理，提高财政资金使用效益，根据财政部《中共中央国务院关于全面实施预算绩效管理的意见》（中发〔2018〕34号）和《中共湖南省委办公厅湖南省人民政府办公厅关于全面实施预算绩效管理的实施意见》（湘办发〔2019〕10号），以及长沙市财政局《关于开展2020年市直单位绩效自评工作的通知》（长财绩〔2020〕1号）等文件要求，长沙市工商业联合会(以下简称“本单位”)根据长沙市财政预算支出绩效评价的有关规定，对2019年整体支出进行了绩效评价，形成本评价报告。</w:t>
      </w:r>
    </w:p>
    <w:p>
      <w:pPr>
        <w:pStyle w:val="2"/>
        <w:spacing w:line="360" w:lineRule="auto"/>
        <w:rPr>
          <w:rFonts w:ascii="仿宋" w:hAnsi="仿宋" w:eastAsia="仿宋" w:cs="仿宋"/>
        </w:rPr>
      </w:pPr>
      <w:bookmarkStart w:id="0" w:name="_Toc74"/>
      <w:r>
        <w:rPr>
          <w:rFonts w:hint="eastAsia" w:ascii="仿宋" w:hAnsi="仿宋" w:eastAsia="仿宋" w:cs="仿宋"/>
        </w:rPr>
        <w:t>一、部门概况</w:t>
      </w:r>
      <w:bookmarkEnd w:id="0"/>
    </w:p>
    <w:p>
      <w:pPr>
        <w:pStyle w:val="3"/>
        <w:spacing w:line="360" w:lineRule="auto"/>
      </w:pPr>
      <w:bookmarkStart w:id="1" w:name="_Toc14909"/>
      <w:r>
        <w:rPr>
          <w:rFonts w:hint="eastAsia"/>
        </w:rPr>
        <w:t>（一）单位基本情况</w:t>
      </w:r>
      <w:bookmarkEnd w:id="1"/>
    </w:p>
    <w:p>
      <w:pPr>
        <w:spacing w:line="360" w:lineRule="auto"/>
        <w:ind w:firstLine="640" w:firstLineChars="200"/>
        <w:rPr>
          <w:rFonts w:ascii="仿宋" w:hAnsi="仿宋" w:eastAsia="仿宋" w:cs="仿宋"/>
          <w:sz w:val="32"/>
          <w:szCs w:val="32"/>
        </w:rPr>
      </w:pPr>
      <w:r>
        <w:rPr>
          <w:rFonts w:ascii="仿宋" w:hAnsi="仿宋" w:eastAsia="仿宋" w:cs="仿宋"/>
          <w:sz w:val="32"/>
          <w:szCs w:val="32"/>
        </w:rPr>
        <w:t>1</w:t>
      </w:r>
      <w:r>
        <w:rPr>
          <w:rFonts w:hint="eastAsia" w:ascii="仿宋" w:hAnsi="仿宋" w:eastAsia="仿宋" w:cs="仿宋"/>
          <w:sz w:val="32"/>
          <w:szCs w:val="32"/>
        </w:rPr>
        <w:t>、主要职责职能</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长沙市工商联是中国共产党领导的面向工商界、以非公有制企业和非公有制经济人士为主体的人民团体和商会组织，是市委和市政府联系非公有制经济人士的桥梁纽带，是市政府管理和服务非公有制经济的助手。</w:t>
      </w:r>
    </w:p>
    <w:p>
      <w:pPr>
        <w:spacing w:line="360" w:lineRule="auto"/>
        <w:ind w:firstLine="640" w:firstLineChars="200"/>
        <w:rPr>
          <w:rFonts w:ascii="仿宋" w:hAnsi="仿宋" w:eastAsia="仿宋" w:cs="仿宋"/>
          <w:sz w:val="32"/>
          <w:szCs w:val="32"/>
        </w:rPr>
      </w:pPr>
      <w:r>
        <w:rPr>
          <w:rFonts w:ascii="仿宋" w:hAnsi="仿宋" w:eastAsia="仿宋" w:cs="仿宋"/>
          <w:sz w:val="32"/>
          <w:szCs w:val="32"/>
        </w:rPr>
        <w:t>2</w:t>
      </w:r>
      <w:r>
        <w:rPr>
          <w:rFonts w:hint="eastAsia" w:ascii="仿宋" w:hAnsi="仿宋" w:eastAsia="仿宋" w:cs="仿宋"/>
          <w:sz w:val="32"/>
          <w:szCs w:val="32"/>
        </w:rPr>
        <w:t>、机构设置情况</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纳入</w:t>
      </w:r>
      <w:r>
        <w:rPr>
          <w:rFonts w:ascii="仿宋" w:hAnsi="仿宋" w:eastAsia="仿宋" w:cs="仿宋"/>
          <w:sz w:val="32"/>
          <w:szCs w:val="32"/>
        </w:rPr>
        <w:t>201</w:t>
      </w:r>
      <w:r>
        <w:rPr>
          <w:rFonts w:hint="eastAsia" w:ascii="仿宋" w:hAnsi="仿宋" w:eastAsia="仿宋" w:cs="仿宋"/>
          <w:sz w:val="32"/>
          <w:szCs w:val="32"/>
        </w:rPr>
        <w:t>9年度部门决算汇编范围的独立核算单位共</w:t>
      </w:r>
      <w:r>
        <w:rPr>
          <w:rFonts w:ascii="仿宋" w:hAnsi="仿宋" w:eastAsia="仿宋" w:cs="仿宋"/>
          <w:sz w:val="32"/>
          <w:szCs w:val="32"/>
        </w:rPr>
        <w:t>1</w:t>
      </w:r>
      <w:r>
        <w:rPr>
          <w:rFonts w:hint="eastAsia" w:ascii="仿宋" w:hAnsi="仿宋" w:eastAsia="仿宋" w:cs="仿宋"/>
          <w:sz w:val="32"/>
          <w:szCs w:val="32"/>
        </w:rPr>
        <w:t>个，即长沙市工商业联合会本级，正处级行政单位，全额财政拨款，执行行政单位会计制度单位。下设</w:t>
      </w:r>
      <w:r>
        <w:rPr>
          <w:rFonts w:ascii="仿宋" w:hAnsi="仿宋" w:eastAsia="仿宋" w:cs="仿宋"/>
          <w:sz w:val="32"/>
          <w:szCs w:val="32"/>
        </w:rPr>
        <w:t>8</w:t>
      </w:r>
      <w:r>
        <w:rPr>
          <w:rFonts w:hint="eastAsia" w:ascii="仿宋" w:hAnsi="仿宋" w:eastAsia="仿宋" w:cs="仿宋"/>
          <w:sz w:val="32"/>
          <w:szCs w:val="32"/>
        </w:rPr>
        <w:t>个职能处室即：办公室、会员处、经济联络处、宣传处、权益处、研究室、人事处和党总支</w:t>
      </w:r>
      <w:r>
        <w:rPr>
          <w:rFonts w:ascii="仿宋" w:hAnsi="仿宋" w:eastAsia="仿宋" w:cs="仿宋"/>
          <w:sz w:val="32"/>
          <w:szCs w:val="32"/>
        </w:rPr>
        <w:t>8</w:t>
      </w:r>
      <w:r>
        <w:rPr>
          <w:rFonts w:hint="eastAsia" w:ascii="仿宋" w:hAnsi="仿宋" w:eastAsia="仿宋" w:cs="仿宋"/>
          <w:sz w:val="32"/>
          <w:szCs w:val="32"/>
        </w:rPr>
        <w:t>个职能处室。</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w:t>
      </w:r>
      <w:r>
        <w:rPr>
          <w:rFonts w:ascii="仿宋" w:hAnsi="仿宋" w:eastAsia="仿宋" w:cs="仿宋"/>
          <w:sz w:val="32"/>
          <w:szCs w:val="32"/>
        </w:rPr>
        <w:t>1</w:t>
      </w:r>
      <w:r>
        <w:rPr>
          <w:rFonts w:hint="eastAsia" w:ascii="仿宋" w:hAnsi="仿宋" w:eastAsia="仿宋" w:cs="仿宋"/>
          <w:sz w:val="32"/>
          <w:szCs w:val="32"/>
        </w:rPr>
        <w:t>）办公室</w:t>
      </w:r>
    </w:p>
    <w:p>
      <w:pPr>
        <w:spacing w:line="360" w:lineRule="auto"/>
        <w:ind w:firstLine="640" w:firstLineChars="200"/>
        <w:rPr>
          <w:rFonts w:ascii="仿宋" w:hAnsi="仿宋" w:eastAsia="仿宋" w:cs="仿宋"/>
        </w:rPr>
      </w:pPr>
      <w:r>
        <w:rPr>
          <w:rFonts w:hint="eastAsia" w:ascii="仿宋" w:hAnsi="仿宋" w:eastAsia="仿宋" w:cs="仿宋"/>
          <w:sz w:val="32"/>
          <w:szCs w:val="32"/>
        </w:rPr>
        <w:t>协助会领导处理机关日常工作，为会领导和机关各处室搞好服务，确保机关各项工作正常运转；负责联系区、县（市）工商联，做好与市委、市政府有关部门的对口联系工作；协助秘书长做好全市工商联工作会、全体会长会、会长办公会及有关重大活动和会议的组织安排；负责财务、资产、印章、档案管理和机要工作；负责车辆管理及调度安排；负责机关综治及安全保卫工作；负责机关和会馆、门面租户的计划生育工作；负责会馆及门面招租及管理工作；负责处理会办企业遗留问题；负责本会宿舍的有关管理工作；完成会领导交办的其他工作。</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w:t>
      </w:r>
      <w:r>
        <w:rPr>
          <w:rFonts w:ascii="仿宋" w:hAnsi="仿宋" w:eastAsia="仿宋" w:cs="仿宋"/>
          <w:sz w:val="32"/>
          <w:szCs w:val="32"/>
        </w:rPr>
        <w:t>2</w:t>
      </w:r>
      <w:r>
        <w:rPr>
          <w:rFonts w:hint="eastAsia" w:ascii="仿宋" w:hAnsi="仿宋" w:eastAsia="仿宋" w:cs="仿宋"/>
          <w:sz w:val="32"/>
          <w:szCs w:val="32"/>
        </w:rPr>
        <w:t>）会员处</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负责会员发展和培训工作，建立会员电子档案，完善会员发展的基础工作；负责市级直属商会的业务指导管理及党建工作；指导区、县（市）工商联管理行业商会、乡镇分会、街道分会；负责非公有制经济代表人士政治安排的考察、推荐工作；负责会费收缴工作；做好原工商业者的政策落实和走访、慰问工作；负责会员出国出境的审批工作；负责组织市工商联界别政协委员开展有关活动；完成会领导交办的其他工作。</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w:t>
      </w:r>
      <w:r>
        <w:rPr>
          <w:rFonts w:ascii="仿宋" w:hAnsi="仿宋" w:eastAsia="仿宋" w:cs="仿宋"/>
          <w:sz w:val="32"/>
          <w:szCs w:val="32"/>
        </w:rPr>
        <w:t>3</w:t>
      </w:r>
      <w:r>
        <w:rPr>
          <w:rFonts w:hint="eastAsia" w:ascii="仿宋" w:hAnsi="仿宋" w:eastAsia="仿宋" w:cs="仿宋"/>
          <w:sz w:val="32"/>
          <w:szCs w:val="32"/>
        </w:rPr>
        <w:t>）经济联络处</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负责经济服务和对外联络工作；负责与海内外工商联、商会、工商社团以及工商界知名人士保持经常的联系，组织开展有关活动；负责组织出国出境考察活动；组织会员举办或参加各种展销会、交易会等经贸活动，协助政府及会员企业做好招商引资工作；按照国家有关规定，为会员企业提供人才、科技、融资、咨询服务；负责动员会员参与社会主义新农村建设，负责“光彩事业”有关工作，及时统计和上报光彩事业的数据；完成会领导交办的其他工作任务。</w:t>
      </w:r>
    </w:p>
    <w:p>
      <w:pPr>
        <w:spacing w:line="360" w:lineRule="auto"/>
        <w:ind w:left="105" w:leftChars="50" w:firstLine="640" w:firstLineChars="200"/>
        <w:rPr>
          <w:rFonts w:ascii="仿宋" w:hAnsi="仿宋" w:eastAsia="仿宋" w:cs="仿宋"/>
          <w:sz w:val="32"/>
          <w:szCs w:val="32"/>
        </w:rPr>
      </w:pPr>
      <w:r>
        <w:rPr>
          <w:rFonts w:hint="eastAsia" w:ascii="仿宋" w:hAnsi="仿宋" w:eastAsia="仿宋" w:cs="仿宋"/>
          <w:sz w:val="32"/>
          <w:szCs w:val="32"/>
        </w:rPr>
        <w:t>（</w:t>
      </w:r>
      <w:r>
        <w:rPr>
          <w:rFonts w:ascii="仿宋" w:hAnsi="仿宋" w:eastAsia="仿宋" w:cs="仿宋"/>
          <w:sz w:val="32"/>
          <w:szCs w:val="32"/>
        </w:rPr>
        <w:t>4</w:t>
      </w:r>
      <w:r>
        <w:rPr>
          <w:rFonts w:hint="eastAsia" w:ascii="仿宋" w:hAnsi="仿宋" w:eastAsia="仿宋" w:cs="仿宋"/>
          <w:sz w:val="32"/>
          <w:szCs w:val="32"/>
        </w:rPr>
        <w:t>）宣传处</w:t>
      </w:r>
    </w:p>
    <w:p>
      <w:pPr>
        <w:spacing w:line="360" w:lineRule="auto"/>
        <w:ind w:left="105" w:leftChars="50" w:firstLine="640" w:firstLineChars="200"/>
        <w:rPr>
          <w:rFonts w:ascii="仿宋" w:hAnsi="仿宋" w:eastAsia="仿宋" w:cs="仿宋"/>
        </w:rPr>
      </w:pPr>
      <w:r>
        <w:rPr>
          <w:rFonts w:hint="eastAsia" w:ascii="仿宋" w:hAnsi="仿宋" w:eastAsia="仿宋" w:cs="仿宋"/>
          <w:sz w:val="32"/>
          <w:szCs w:val="32"/>
        </w:rPr>
        <w:t>负责宣传党和政府的方针、政策和法律、法规，宣传报道非公有制经济代表人士及工商联系统干部队伍中的模范人物和先进事迹，宣传报道全市各级工商联的重大会务活动；负责办好会刊《长沙工商联通讯》，不断提高会刊质量，丰富会刊内容，扩大会刊信息量；负责工商联主题活动的宣传策划工作；负责建立表彰机制，树立表彰品牌；负责组织或协助组织非公有制经济代表人士的有关培训、报告会、论坛等活动；负责组织本会举办的企业文化建设活动；负责向上级相关部门报送信息，确保按质按量完成信息报送任务；负责指导会员企业创建文明单位的工作；负责本会局域网站和微信公众号的建设与管理；完成会领导交办的其他工作。</w:t>
      </w:r>
    </w:p>
    <w:p>
      <w:pPr>
        <w:spacing w:line="360" w:lineRule="auto"/>
        <w:ind w:left="105" w:leftChars="50" w:firstLine="640" w:firstLineChars="200"/>
        <w:rPr>
          <w:rFonts w:ascii="仿宋" w:hAnsi="仿宋" w:eastAsia="仿宋" w:cs="仿宋"/>
          <w:sz w:val="32"/>
          <w:szCs w:val="32"/>
        </w:rPr>
      </w:pPr>
      <w:r>
        <w:rPr>
          <w:rFonts w:hint="eastAsia" w:ascii="仿宋" w:hAnsi="仿宋" w:eastAsia="仿宋" w:cs="仿宋"/>
          <w:sz w:val="32"/>
          <w:szCs w:val="32"/>
        </w:rPr>
        <w:t>（</w:t>
      </w:r>
      <w:r>
        <w:rPr>
          <w:rFonts w:ascii="仿宋" w:hAnsi="仿宋" w:eastAsia="仿宋" w:cs="仿宋"/>
          <w:sz w:val="32"/>
          <w:szCs w:val="32"/>
        </w:rPr>
        <w:t>5</w:t>
      </w:r>
      <w:r>
        <w:rPr>
          <w:rFonts w:hint="eastAsia" w:ascii="仿宋" w:hAnsi="仿宋" w:eastAsia="仿宋" w:cs="仿宋"/>
          <w:sz w:val="32"/>
          <w:szCs w:val="32"/>
        </w:rPr>
        <w:t>）研究室</w:t>
      </w:r>
    </w:p>
    <w:p>
      <w:pPr>
        <w:spacing w:line="360" w:lineRule="auto"/>
        <w:ind w:left="105" w:leftChars="50" w:firstLine="640" w:firstLineChars="200"/>
        <w:rPr>
          <w:rFonts w:ascii="仿宋" w:hAnsi="仿宋" w:eastAsia="仿宋" w:cs="仿宋"/>
          <w:sz w:val="32"/>
          <w:szCs w:val="32"/>
        </w:rPr>
      </w:pPr>
      <w:r>
        <w:rPr>
          <w:rFonts w:hint="eastAsia" w:ascii="仿宋" w:hAnsi="仿宋" w:eastAsia="仿宋" w:cs="仿宋"/>
          <w:sz w:val="32"/>
          <w:szCs w:val="32"/>
        </w:rPr>
        <w:t>负责本会调研工作，提出计划，组织调研，撰写调研报告；负责组织和撰写本会提案，《社情民意》稿件的征集、撰写、存档、答复件意见反馈等工作，负责完成市政协大会发言等有关参政议政工作文字材料；负责全市非公有制经济发展状况的信息收集与综合，做好年度全市非公有制经济情况分析，发布非公有制经济发展报告；负责起草本会工作总结工作要点、计划及执、常委会、代表大会的工作报告和其它综合性会议的领导讲话；负责《长沙年鉴》中有关工商联工作史料的编撰工作；负责长沙民营经济改革示范区的申报工作；完成会领导交办的其他工作。</w:t>
      </w:r>
    </w:p>
    <w:p>
      <w:pPr>
        <w:spacing w:line="360" w:lineRule="auto"/>
        <w:ind w:left="105" w:leftChars="50" w:firstLine="640" w:firstLineChars="200"/>
        <w:rPr>
          <w:rFonts w:ascii="仿宋" w:hAnsi="仿宋" w:eastAsia="仿宋" w:cs="仿宋"/>
          <w:sz w:val="32"/>
          <w:szCs w:val="32"/>
        </w:rPr>
      </w:pPr>
      <w:r>
        <w:rPr>
          <w:rFonts w:hint="eastAsia" w:ascii="仿宋" w:hAnsi="仿宋" w:eastAsia="仿宋" w:cs="仿宋"/>
          <w:sz w:val="32"/>
          <w:szCs w:val="32"/>
        </w:rPr>
        <w:t>（</w:t>
      </w:r>
      <w:r>
        <w:rPr>
          <w:rFonts w:ascii="仿宋" w:hAnsi="仿宋" w:eastAsia="仿宋" w:cs="仿宋"/>
          <w:sz w:val="32"/>
          <w:szCs w:val="32"/>
        </w:rPr>
        <w:t>6</w:t>
      </w:r>
      <w:r>
        <w:rPr>
          <w:rFonts w:hint="eastAsia" w:ascii="仿宋" w:hAnsi="仿宋" w:eastAsia="仿宋" w:cs="仿宋"/>
          <w:sz w:val="32"/>
          <w:szCs w:val="32"/>
        </w:rPr>
        <w:t>）权益处</w:t>
      </w:r>
    </w:p>
    <w:p>
      <w:pPr>
        <w:spacing w:line="360" w:lineRule="auto"/>
        <w:ind w:left="105" w:leftChars="50" w:firstLine="640" w:firstLineChars="200"/>
        <w:rPr>
          <w:rFonts w:ascii="仿宋" w:hAnsi="仿宋" w:eastAsia="仿宋" w:cs="仿宋"/>
          <w:sz w:val="32"/>
          <w:szCs w:val="32"/>
        </w:rPr>
      </w:pPr>
      <w:r>
        <w:rPr>
          <w:rFonts w:hint="eastAsia" w:ascii="仿宋" w:hAnsi="仿宋" w:eastAsia="仿宋" w:cs="仿宋"/>
          <w:sz w:val="32"/>
          <w:szCs w:val="32"/>
        </w:rPr>
        <w:t>举办法律知识讲座，为会员提供法律、法规咨询服务；与政法、纪检等有关部门建立工作联系制度，构建非公有制企业维权工作体系；及时反映协调解决会员遇到的侵权问题，做好会员维权个案的处理和跟踪落实工作；协助有关部门做好非公有制企业的经济仲裁工作，调解会员商事纠纷；接受对侵犯非公有制企业合法权益行为的来信、来访，配合纪检监察部门处理有关投诉；搞好对非公有制经济权益侵犯的调查研究，及时向市委、政府反映民营经济发展环境中存在的问题；定期举办维护会员合法权益的系列主题活动，提高会员的维权意识，引导广大会员通过正确的途径维护自己的权益；负责“特约四员”的归口管理工作；牵头做好“营商环境优化年”相关工作；做好“法律顾问团”和法律顾问单位工作；完成会领导交办的其他工作。</w:t>
      </w:r>
    </w:p>
    <w:p>
      <w:pPr>
        <w:spacing w:line="360" w:lineRule="auto"/>
        <w:ind w:left="105" w:leftChars="50" w:firstLine="640" w:firstLineChars="200"/>
        <w:rPr>
          <w:rFonts w:ascii="仿宋" w:hAnsi="仿宋" w:eastAsia="仿宋" w:cs="仿宋"/>
          <w:sz w:val="32"/>
          <w:szCs w:val="32"/>
        </w:rPr>
      </w:pPr>
      <w:r>
        <w:rPr>
          <w:rFonts w:hint="eastAsia" w:ascii="仿宋" w:hAnsi="仿宋" w:eastAsia="仿宋" w:cs="仿宋"/>
          <w:sz w:val="32"/>
          <w:szCs w:val="32"/>
        </w:rPr>
        <w:t>（</w:t>
      </w:r>
      <w:r>
        <w:rPr>
          <w:rFonts w:ascii="仿宋" w:hAnsi="仿宋" w:eastAsia="仿宋" w:cs="仿宋"/>
          <w:sz w:val="32"/>
          <w:szCs w:val="32"/>
        </w:rPr>
        <w:t>7</w:t>
      </w:r>
      <w:r>
        <w:rPr>
          <w:rFonts w:hint="eastAsia" w:ascii="仿宋" w:hAnsi="仿宋" w:eastAsia="仿宋" w:cs="仿宋"/>
          <w:sz w:val="32"/>
          <w:szCs w:val="32"/>
        </w:rPr>
        <w:t>）人事处</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协助党组抓好机关干部的思想政治工作；负责组织会机关干部的政治理论学习和业务培训；负责会机关的文明单位创建工作；负责单位绩效考核工作；负责机关干部的考勤、考核及各处室年度工作目标管理的考核工作；负责办理机关人员岗位变动、人事任免及招聘、退休等手续；负责办理机关工作人员和离退休人员的工资及社保、医保、劳保福利等具体工作；完成会领导交办的其他工作。</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w:t>
      </w:r>
      <w:r>
        <w:rPr>
          <w:rFonts w:ascii="仿宋" w:hAnsi="仿宋" w:eastAsia="仿宋" w:cs="仿宋"/>
          <w:sz w:val="32"/>
          <w:szCs w:val="32"/>
        </w:rPr>
        <w:t>8</w:t>
      </w:r>
      <w:r>
        <w:rPr>
          <w:rFonts w:hint="eastAsia" w:ascii="仿宋" w:hAnsi="仿宋" w:eastAsia="仿宋" w:cs="仿宋"/>
          <w:sz w:val="32"/>
          <w:szCs w:val="32"/>
        </w:rPr>
        <w:t>）党总支</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负责学习、宣传党的路线、方针、政策，保证党和国家的方针、政策及市委、市政府的各项决定的贯彻落实；负责加强党组织的思想、组织、党风廉政建设，指导机关支部离退休支部工作；负责加强党总支自身建设，发挥党组织的战斗堡垒作用和党员的先锋模范作用；负责机关党员的思想政治工作，加强对党员的教育和管理；、负责组织召开机关党员组织生活会；负责领导工会、共青团、妇委会等群团组织；负责做好发展党员工作。</w:t>
      </w:r>
    </w:p>
    <w:p>
      <w:pPr>
        <w:spacing w:line="360" w:lineRule="auto"/>
        <w:ind w:firstLine="640" w:firstLineChars="200"/>
        <w:rPr>
          <w:rFonts w:ascii="仿宋" w:hAnsi="仿宋" w:eastAsia="仿宋" w:cs="仿宋"/>
          <w:sz w:val="32"/>
          <w:szCs w:val="32"/>
        </w:rPr>
      </w:pPr>
      <w:r>
        <w:rPr>
          <w:rFonts w:ascii="仿宋" w:hAnsi="仿宋" w:eastAsia="仿宋" w:cs="仿宋"/>
          <w:sz w:val="32"/>
          <w:szCs w:val="32"/>
        </w:rPr>
        <w:t>3</w:t>
      </w:r>
      <w:r>
        <w:rPr>
          <w:rFonts w:hint="eastAsia" w:ascii="仿宋" w:hAnsi="仿宋" w:eastAsia="仿宋" w:cs="仿宋"/>
          <w:sz w:val="32"/>
          <w:szCs w:val="32"/>
        </w:rPr>
        <w:t>、人员概况</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2019年末有编制35人，其中：行政编制33人，工勤编制2人；现有在职人员34人，临聘人员3人，编制内在职人员</w:t>
      </w:r>
      <w:r>
        <w:rPr>
          <w:rFonts w:ascii="仿宋" w:hAnsi="仿宋" w:eastAsia="仿宋" w:cs="仿宋"/>
          <w:sz w:val="32"/>
          <w:szCs w:val="32"/>
        </w:rPr>
        <w:t>3</w:t>
      </w:r>
      <w:r>
        <w:rPr>
          <w:rFonts w:hint="eastAsia" w:ascii="仿宋" w:hAnsi="仿宋" w:eastAsia="仿宋" w:cs="仿宋"/>
          <w:sz w:val="32"/>
          <w:szCs w:val="32"/>
        </w:rPr>
        <w:t>4人；在职人员控制率为：97.14</w:t>
      </w:r>
      <w:r>
        <w:rPr>
          <w:rFonts w:ascii="仿宋" w:hAnsi="仿宋" w:eastAsia="仿宋" w:cs="仿宋"/>
          <w:sz w:val="32"/>
          <w:szCs w:val="32"/>
        </w:rPr>
        <w:t>%</w:t>
      </w:r>
      <w:r>
        <w:rPr>
          <w:rFonts w:hint="eastAsia" w:ascii="仿宋" w:hAnsi="仿宋" w:eastAsia="仿宋" w:cs="仿宋"/>
          <w:sz w:val="32"/>
          <w:szCs w:val="32"/>
        </w:rPr>
        <w:t>。</w:t>
      </w:r>
    </w:p>
    <w:p>
      <w:pPr>
        <w:pStyle w:val="3"/>
        <w:spacing w:line="360" w:lineRule="auto"/>
        <w:rPr>
          <w:rFonts w:ascii="仿宋" w:hAnsi="仿宋" w:eastAsia="仿宋" w:cs="仿宋"/>
          <w:color w:val="FF0000"/>
        </w:rPr>
      </w:pPr>
      <w:bookmarkStart w:id="2" w:name="_Toc26597"/>
      <w:r>
        <w:rPr>
          <w:rFonts w:hint="eastAsia" w:ascii="仿宋" w:hAnsi="仿宋" w:eastAsia="仿宋" w:cs="仿宋"/>
        </w:rPr>
        <w:t>（二）部门整体支出规模、使用方向和内容</w:t>
      </w:r>
      <w:bookmarkEnd w:id="2"/>
    </w:p>
    <w:p>
      <w:pPr>
        <w:spacing w:line="360" w:lineRule="auto"/>
        <w:ind w:firstLine="640" w:firstLineChars="200"/>
        <w:rPr>
          <w:rFonts w:ascii="仿宋" w:hAnsi="仿宋" w:eastAsia="仿宋" w:cs="仿宋"/>
          <w:bCs/>
          <w:sz w:val="32"/>
          <w:szCs w:val="32"/>
        </w:rPr>
      </w:pPr>
      <w:r>
        <w:rPr>
          <w:rFonts w:ascii="仿宋" w:hAnsi="仿宋" w:eastAsia="仿宋" w:cs="仿宋"/>
          <w:sz w:val="32"/>
          <w:szCs w:val="32"/>
        </w:rPr>
        <w:t>1</w:t>
      </w:r>
      <w:r>
        <w:rPr>
          <w:rFonts w:hint="eastAsia" w:ascii="仿宋" w:hAnsi="仿宋" w:eastAsia="仿宋" w:cs="仿宋"/>
          <w:sz w:val="32"/>
          <w:szCs w:val="32"/>
        </w:rPr>
        <w:t>、</w:t>
      </w:r>
      <w:r>
        <w:rPr>
          <w:rFonts w:hint="eastAsia" w:ascii="仿宋" w:hAnsi="仿宋" w:eastAsia="仿宋" w:cs="仿宋"/>
          <w:bCs/>
          <w:sz w:val="32"/>
          <w:szCs w:val="32"/>
        </w:rPr>
        <w:t>年度预算收支情况</w:t>
      </w:r>
    </w:p>
    <w:p>
      <w:pPr>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根据2019年部门预算批复，本单位收入预算1001.1万元万元，全部为财政拨款，支出预算1001.1万元中基本支出834.18万元，占支出预算总额的</w:t>
      </w:r>
      <w:r>
        <w:rPr>
          <w:rFonts w:ascii="仿宋" w:hAnsi="仿宋" w:eastAsia="仿宋" w:cs="仿宋"/>
          <w:color w:val="000000"/>
          <w:sz w:val="32"/>
          <w:szCs w:val="32"/>
        </w:rPr>
        <w:t>83.</w:t>
      </w:r>
      <w:r>
        <w:rPr>
          <w:rFonts w:hint="eastAsia" w:ascii="仿宋" w:hAnsi="仿宋" w:eastAsia="仿宋" w:cs="仿宋"/>
          <w:color w:val="000000"/>
          <w:sz w:val="32"/>
          <w:szCs w:val="32"/>
        </w:rPr>
        <w:t>33</w:t>
      </w:r>
      <w:r>
        <w:rPr>
          <w:rFonts w:ascii="仿宋" w:hAnsi="仿宋" w:eastAsia="仿宋" w:cs="仿宋"/>
          <w:color w:val="000000"/>
          <w:sz w:val="32"/>
          <w:szCs w:val="32"/>
        </w:rPr>
        <w:t>%</w:t>
      </w:r>
      <w:r>
        <w:rPr>
          <w:rFonts w:hint="eastAsia" w:ascii="仿宋" w:hAnsi="仿宋" w:eastAsia="仿宋" w:cs="仿宋"/>
          <w:color w:val="000000"/>
          <w:sz w:val="32"/>
          <w:szCs w:val="32"/>
        </w:rPr>
        <w:t>；项目支出166.92万元，占支出预算总额的</w:t>
      </w:r>
      <w:r>
        <w:rPr>
          <w:rFonts w:ascii="仿宋" w:hAnsi="仿宋" w:eastAsia="仿宋" w:cs="仿宋"/>
          <w:color w:val="000000"/>
          <w:sz w:val="32"/>
          <w:szCs w:val="32"/>
        </w:rPr>
        <w:t>16.6</w:t>
      </w:r>
      <w:r>
        <w:rPr>
          <w:rFonts w:hint="eastAsia" w:ascii="仿宋" w:hAnsi="仿宋" w:eastAsia="仿宋" w:cs="仿宋"/>
          <w:color w:val="000000"/>
          <w:sz w:val="32"/>
          <w:szCs w:val="32"/>
        </w:rPr>
        <w:t>7</w:t>
      </w:r>
      <w:r>
        <w:rPr>
          <w:rFonts w:ascii="仿宋" w:hAnsi="仿宋" w:eastAsia="仿宋" w:cs="仿宋"/>
          <w:color w:val="000000"/>
          <w:sz w:val="32"/>
          <w:szCs w:val="32"/>
        </w:rPr>
        <w:t>%</w:t>
      </w:r>
      <w:r>
        <w:rPr>
          <w:rFonts w:hint="eastAsia" w:ascii="仿宋" w:hAnsi="仿宋" w:eastAsia="仿宋" w:cs="仿宋"/>
          <w:color w:val="000000"/>
          <w:sz w:val="32"/>
          <w:szCs w:val="32"/>
        </w:rPr>
        <w:t>。</w:t>
      </w:r>
    </w:p>
    <w:p>
      <w:pPr>
        <w:spacing w:line="360" w:lineRule="auto"/>
        <w:ind w:firstLine="640" w:firstLineChars="200"/>
        <w:rPr>
          <w:rFonts w:ascii="仿宋" w:hAnsi="仿宋" w:eastAsia="仿宋" w:cs="仿宋"/>
          <w:color w:val="000000"/>
          <w:sz w:val="32"/>
          <w:szCs w:val="32"/>
        </w:rPr>
      </w:pPr>
      <w:r>
        <w:rPr>
          <w:rFonts w:hint="eastAsia" w:ascii="仿宋" w:hAnsi="仿宋" w:eastAsia="仿宋" w:cs="仿宋"/>
          <w:bCs/>
          <w:color w:val="000000"/>
          <w:sz w:val="32"/>
          <w:szCs w:val="32"/>
        </w:rPr>
        <w:t>本单位</w:t>
      </w:r>
      <w:r>
        <w:rPr>
          <w:rFonts w:hint="eastAsia" w:ascii="仿宋" w:hAnsi="仿宋" w:eastAsia="仿宋" w:cs="仿宋"/>
          <w:color w:val="000000"/>
          <w:sz w:val="32"/>
          <w:szCs w:val="32"/>
        </w:rPr>
        <w:t>可用财政资金1001.1万元，其中：本年预算1001.1万元，上年结余</w:t>
      </w:r>
      <w:r>
        <w:rPr>
          <w:rFonts w:ascii="仿宋" w:hAnsi="仿宋" w:eastAsia="仿宋" w:cs="仿宋"/>
          <w:color w:val="000000"/>
          <w:sz w:val="32"/>
          <w:szCs w:val="32"/>
        </w:rPr>
        <w:t>0.00</w:t>
      </w:r>
      <w:r>
        <w:rPr>
          <w:rFonts w:hint="eastAsia" w:ascii="仿宋" w:hAnsi="仿宋" w:eastAsia="仿宋" w:cs="仿宋"/>
          <w:color w:val="000000"/>
          <w:sz w:val="32"/>
          <w:szCs w:val="32"/>
        </w:rPr>
        <w:t>万元。</w:t>
      </w:r>
    </w:p>
    <w:p>
      <w:pPr>
        <w:spacing w:line="360" w:lineRule="auto"/>
        <w:ind w:firstLine="640" w:firstLineChars="200"/>
        <w:rPr>
          <w:rFonts w:ascii="仿宋" w:hAnsi="仿宋" w:eastAsia="仿宋" w:cs="仿宋"/>
          <w:color w:val="000000"/>
          <w:sz w:val="32"/>
          <w:szCs w:val="32"/>
        </w:rPr>
      </w:pPr>
      <w:r>
        <w:rPr>
          <w:rFonts w:ascii="仿宋" w:hAnsi="仿宋" w:eastAsia="仿宋" w:cs="仿宋"/>
          <w:color w:val="000000"/>
          <w:sz w:val="32"/>
          <w:szCs w:val="32"/>
        </w:rPr>
        <w:t>2</w:t>
      </w:r>
      <w:r>
        <w:rPr>
          <w:rFonts w:hint="eastAsia" w:ascii="仿宋" w:hAnsi="仿宋" w:eastAsia="仿宋" w:cs="仿宋"/>
          <w:color w:val="000000"/>
          <w:sz w:val="32"/>
          <w:szCs w:val="32"/>
        </w:rPr>
        <w:t>、</w:t>
      </w:r>
      <w:r>
        <w:rPr>
          <w:rFonts w:hint="eastAsia" w:ascii="仿宋" w:hAnsi="仿宋" w:eastAsia="仿宋" w:cs="仿宋"/>
          <w:bCs/>
          <w:color w:val="000000"/>
          <w:sz w:val="32"/>
          <w:szCs w:val="32"/>
        </w:rPr>
        <w:t>年度预算使用方向和内容</w:t>
      </w:r>
    </w:p>
    <w:p>
      <w:pPr>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2019年部门预算编报范围是长沙市工商联机关。收入为财政拨款(补助)收入，无经营服务等收入;2019年部门预算收入为一般公共预算收入；支出既有保障单位基本运行的经费，也包括工商联的工作经费和参政议政等专项经费。</w:t>
      </w:r>
    </w:p>
    <w:p>
      <w:pPr>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（一）收入预算，2019年年初预算数1001.1万元，其中一般公共预算拨款1001.1万元，无政府性基金预算拨款。收入较2018年增加114.84万元，主要原因是基本工资、公用经费调标及社会保障缴费比例增加等。</w:t>
      </w:r>
    </w:p>
    <w:p>
      <w:pPr>
        <w:spacing w:line="360" w:lineRule="auto"/>
        <w:ind w:firstLine="640" w:firstLineChars="200"/>
        <w:rPr>
          <w:rFonts w:ascii="仿宋" w:hAnsi="仿宋" w:eastAsia="仿宋" w:cs="仿宋"/>
          <w:sz w:val="32"/>
          <w:szCs w:val="32"/>
        </w:rPr>
      </w:pPr>
      <w:r>
        <w:rPr>
          <w:rFonts w:hint="eastAsia" w:ascii="仿宋" w:hAnsi="仿宋" w:eastAsia="仿宋" w:cs="仿宋"/>
          <w:color w:val="000000"/>
          <w:sz w:val="32"/>
          <w:szCs w:val="32"/>
        </w:rPr>
        <w:t>（二）支出预算，2019年年初预算数1001.1万元，其中一般公共服务1001.1万元。支出较2018年增加114.84万元，主要原因是基本工资、公用经费调标及社会保障缴费比例增加等。</w:t>
      </w:r>
      <w:r>
        <w:rPr>
          <w:rFonts w:hint="eastAsia" w:ascii="仿宋" w:hAnsi="仿宋" w:eastAsia="仿宋" w:cs="仿宋"/>
          <w:sz w:val="32"/>
          <w:szCs w:val="32"/>
        </w:rPr>
        <w:t>其中：</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1、基本支出：2019年年初预算数为834.18万元，是指为保障我单位机构运转、完成日常工作任务而发生的各项支出，包括用于在职和离退休人员基本工资、津贴补贴等人员经费以及办公费、印刷费、办公设备购置费等日常公用经费。</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2、项目支出：2019年年初预算数为166.92万元，是指单位为完成特定行政工作任务或事业发展目标而发生的支出，其中组织建设经费40万元，老工商业者生活补助2万元，教育培训经费28万元，参政议政调研及宣传经费38.92万元，招商引资经费20万元，光彩事业经费10万元,维权服务经费28万。</w:t>
      </w:r>
    </w:p>
    <w:p>
      <w:pPr>
        <w:pStyle w:val="2"/>
        <w:spacing w:line="360" w:lineRule="auto"/>
        <w:rPr>
          <w:rFonts w:ascii="仿宋" w:hAnsi="仿宋" w:eastAsia="仿宋" w:cs="仿宋"/>
        </w:rPr>
      </w:pPr>
      <w:bookmarkStart w:id="3" w:name="_Toc4887"/>
      <w:r>
        <w:rPr>
          <w:rFonts w:hint="eastAsia" w:ascii="仿宋" w:hAnsi="仿宋" w:eastAsia="仿宋" w:cs="仿宋"/>
        </w:rPr>
        <w:t>二、部门整体支出管理及使用情况</w:t>
      </w:r>
      <w:bookmarkEnd w:id="3"/>
    </w:p>
    <w:p>
      <w:pPr>
        <w:pStyle w:val="3"/>
        <w:spacing w:line="360" w:lineRule="auto"/>
        <w:rPr>
          <w:rFonts w:ascii="仿宋" w:hAnsi="仿宋" w:eastAsia="仿宋" w:cs="仿宋"/>
        </w:rPr>
      </w:pPr>
      <w:bookmarkStart w:id="4" w:name="_Toc24819"/>
      <w:r>
        <w:rPr>
          <w:rFonts w:hint="eastAsia" w:ascii="仿宋" w:hAnsi="仿宋" w:eastAsia="仿宋" w:cs="仿宋"/>
        </w:rPr>
        <w:t>（一）基本支出管理情况</w:t>
      </w:r>
      <w:bookmarkEnd w:id="4"/>
    </w:p>
    <w:p>
      <w:pPr>
        <w:pStyle w:val="4"/>
        <w:spacing w:line="360" w:lineRule="auto"/>
        <w:ind w:firstLine="642" w:firstLineChars="200"/>
        <w:rPr>
          <w:rFonts w:ascii="仿宋" w:hAnsi="仿宋" w:eastAsia="仿宋" w:cs="仿宋"/>
        </w:rPr>
      </w:pPr>
      <w:bookmarkStart w:id="5" w:name="_Toc1338"/>
      <w:r>
        <w:rPr>
          <w:rFonts w:ascii="仿宋" w:hAnsi="仿宋" w:eastAsia="仿宋" w:cs="仿宋"/>
        </w:rPr>
        <w:t>1</w:t>
      </w:r>
      <w:r>
        <w:rPr>
          <w:rFonts w:hint="eastAsia" w:ascii="仿宋" w:hAnsi="仿宋" w:eastAsia="仿宋" w:cs="仿宋"/>
        </w:rPr>
        <w:t>、基本支出本年使用情况</w:t>
      </w:r>
      <w:bookmarkEnd w:id="5"/>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napToGrid w:val="0"/>
        <w:spacing w:line="360" w:lineRule="auto"/>
        <w:ind w:firstLine="640" w:firstLineChars="200"/>
        <w:rPr>
          <w:rFonts w:ascii="仿宋" w:hAnsi="仿宋" w:eastAsia="仿宋" w:cs="仿宋"/>
          <w:color w:val="FF0000"/>
          <w:sz w:val="32"/>
          <w:szCs w:val="32"/>
        </w:rPr>
      </w:pPr>
      <w:r>
        <w:rPr>
          <w:rFonts w:hint="eastAsia" w:ascii="仿宋" w:hAnsi="仿宋" w:eastAsia="仿宋" w:cs="仿宋"/>
          <w:color w:val="000000"/>
          <w:sz w:val="32"/>
          <w:szCs w:val="32"/>
        </w:rPr>
        <w:t>本单位基本支出的范围和主要用途是指为保障我单位机构运转、完成日常工作任务而发生的各项支出，包括用于在职和离退休人员基本工资、津贴补贴等人员经费以及办公费、印刷费、办公设备购置费等日常公用经费。基本支出实际支出1000.42万元，其中：工资福利支出745.98万元，对个人和家庭的补助156.58万元，商品和服务支出97.86万元。</w:t>
      </w:r>
    </w:p>
    <w:p>
      <w:pPr>
        <w:pStyle w:val="4"/>
        <w:spacing w:line="360" w:lineRule="auto"/>
        <w:ind w:firstLine="642" w:firstLineChars="200"/>
        <w:rPr>
          <w:rFonts w:ascii="仿宋" w:hAnsi="仿宋" w:eastAsia="仿宋" w:cs="仿宋"/>
        </w:rPr>
      </w:pPr>
      <w:bookmarkStart w:id="6" w:name="_Toc14911"/>
      <w:r>
        <w:rPr>
          <w:rFonts w:ascii="仿宋" w:hAnsi="仿宋" w:eastAsia="仿宋" w:cs="仿宋"/>
        </w:rPr>
        <w:t>2</w:t>
      </w:r>
      <w:r>
        <w:rPr>
          <w:rFonts w:hint="eastAsia" w:ascii="仿宋" w:hAnsi="仿宋" w:eastAsia="仿宋" w:cs="仿宋"/>
        </w:rPr>
        <w:t>、本年基本支出预算执行情况</w:t>
      </w:r>
      <w:bookmarkEnd w:id="6"/>
    </w:p>
    <w:tbl>
      <w:tblPr>
        <w:tblStyle w:val="14"/>
        <w:tblW w:w="8388" w:type="dxa"/>
        <w:jc w:val="right"/>
        <w:tblLayout w:type="fixed"/>
        <w:tblCellMar>
          <w:top w:w="0" w:type="dxa"/>
          <w:left w:w="15" w:type="dxa"/>
          <w:bottom w:w="0" w:type="dxa"/>
          <w:right w:w="15" w:type="dxa"/>
        </w:tblCellMar>
      </w:tblPr>
      <w:tblGrid>
        <w:gridCol w:w="2973"/>
        <w:gridCol w:w="1724"/>
        <w:gridCol w:w="1748"/>
        <w:gridCol w:w="1943"/>
      </w:tblGrid>
      <w:tr>
        <w:tblPrEx>
          <w:tblCellMar>
            <w:top w:w="0" w:type="dxa"/>
            <w:left w:w="15" w:type="dxa"/>
            <w:bottom w:w="0" w:type="dxa"/>
            <w:right w:w="15" w:type="dxa"/>
          </w:tblCellMar>
        </w:tblPrEx>
        <w:trPr>
          <w:trHeight w:val="528" w:hRule="atLeast"/>
          <w:jc w:val="right"/>
        </w:trPr>
        <w:tc>
          <w:tcPr>
            <w:tcW w:w="2973" w:type="dxa"/>
            <w:tcBorders>
              <w:top w:val="single" w:color="000000" w:sz="4" w:space="0"/>
              <w:left w:val="single" w:color="000000" w:sz="4" w:space="0"/>
              <w:bottom w:val="single" w:color="000000" w:sz="4" w:space="0"/>
            </w:tcBorders>
            <w:vAlign w:val="center"/>
          </w:tcPr>
          <w:p>
            <w:pPr>
              <w:spacing w:line="360" w:lineRule="auto"/>
              <w:jc w:val="center"/>
              <w:rPr>
                <w:rFonts w:ascii="仿宋" w:hAnsi="仿宋" w:eastAsia="仿宋" w:cs="仿宋"/>
                <w:color w:val="000000"/>
                <w:sz w:val="28"/>
                <w:szCs w:val="28"/>
              </w:rPr>
            </w:pPr>
            <w:r>
              <w:rPr>
                <w:rFonts w:hint="eastAsia" w:ascii="仿宋" w:hAnsi="仿宋" w:eastAsia="仿宋" w:cs="仿宋"/>
                <w:color w:val="000000"/>
                <w:sz w:val="28"/>
                <w:szCs w:val="28"/>
              </w:rPr>
              <w:t>预算项目</w:t>
            </w:r>
          </w:p>
        </w:tc>
        <w:tc>
          <w:tcPr>
            <w:tcW w:w="1724" w:type="dxa"/>
            <w:tcBorders>
              <w:top w:val="single" w:color="000000" w:sz="4" w:space="0"/>
              <w:left w:val="single" w:color="000000" w:sz="4" w:space="0"/>
              <w:bottom w:val="single" w:color="000000" w:sz="4" w:space="0"/>
              <w:right w:val="single" w:color="000000" w:sz="4" w:space="0"/>
            </w:tcBorders>
            <w:vAlign w:val="center"/>
          </w:tcPr>
          <w:p>
            <w:pPr>
              <w:autoSpaceDN w:val="0"/>
              <w:spacing w:line="360" w:lineRule="auto"/>
              <w:jc w:val="center"/>
              <w:textAlignment w:val="center"/>
              <w:rPr>
                <w:rFonts w:ascii="仿宋" w:hAnsi="仿宋" w:eastAsia="仿宋" w:cs="仿宋"/>
                <w:color w:val="000000"/>
                <w:sz w:val="28"/>
                <w:szCs w:val="28"/>
              </w:rPr>
            </w:pPr>
            <w:r>
              <w:rPr>
                <w:rFonts w:hint="eastAsia" w:ascii="仿宋" w:hAnsi="仿宋" w:eastAsia="仿宋" w:cs="仿宋"/>
                <w:color w:val="000000"/>
                <w:sz w:val="28"/>
                <w:szCs w:val="28"/>
              </w:rPr>
              <w:t>预算可用指标</w:t>
            </w:r>
          </w:p>
        </w:tc>
        <w:tc>
          <w:tcPr>
            <w:tcW w:w="1748" w:type="dxa"/>
            <w:tcBorders>
              <w:top w:val="single" w:color="000000" w:sz="4" w:space="0"/>
              <w:left w:val="single" w:color="000000" w:sz="4" w:space="0"/>
              <w:bottom w:val="single" w:color="000000" w:sz="4" w:space="0"/>
              <w:right w:val="single" w:color="000000" w:sz="4" w:space="0"/>
            </w:tcBorders>
            <w:vAlign w:val="center"/>
          </w:tcPr>
          <w:p>
            <w:pPr>
              <w:autoSpaceDN w:val="0"/>
              <w:spacing w:line="360" w:lineRule="auto"/>
              <w:jc w:val="center"/>
              <w:textAlignment w:val="center"/>
              <w:rPr>
                <w:rFonts w:ascii="仿宋" w:hAnsi="仿宋" w:eastAsia="仿宋" w:cs="仿宋"/>
                <w:color w:val="000000"/>
                <w:sz w:val="28"/>
                <w:szCs w:val="28"/>
              </w:rPr>
            </w:pPr>
            <w:r>
              <w:rPr>
                <w:rFonts w:hint="eastAsia" w:ascii="仿宋" w:hAnsi="仿宋" w:eastAsia="仿宋" w:cs="仿宋"/>
                <w:color w:val="000000"/>
                <w:sz w:val="28"/>
                <w:szCs w:val="28"/>
              </w:rPr>
              <w:t>本年决算金额</w:t>
            </w:r>
          </w:p>
        </w:tc>
        <w:tc>
          <w:tcPr>
            <w:tcW w:w="1943" w:type="dxa"/>
            <w:tcBorders>
              <w:top w:val="single" w:color="000000" w:sz="4" w:space="0"/>
              <w:left w:val="single" w:color="000000" w:sz="4" w:space="0"/>
              <w:bottom w:val="single" w:color="000000" w:sz="4" w:space="0"/>
              <w:right w:val="single" w:color="000000" w:sz="4" w:space="0"/>
            </w:tcBorders>
            <w:vAlign w:val="center"/>
          </w:tcPr>
          <w:p>
            <w:pPr>
              <w:autoSpaceDN w:val="0"/>
              <w:spacing w:line="360" w:lineRule="auto"/>
              <w:jc w:val="center"/>
              <w:textAlignment w:val="center"/>
              <w:rPr>
                <w:rFonts w:ascii="仿宋" w:hAnsi="仿宋" w:eastAsia="仿宋" w:cs="仿宋"/>
                <w:color w:val="000000"/>
                <w:sz w:val="28"/>
                <w:szCs w:val="28"/>
              </w:rPr>
            </w:pPr>
            <w:r>
              <w:rPr>
                <w:rFonts w:hint="eastAsia" w:ascii="仿宋" w:hAnsi="仿宋" w:eastAsia="仿宋" w:cs="仿宋"/>
                <w:color w:val="000000"/>
                <w:sz w:val="28"/>
                <w:szCs w:val="28"/>
              </w:rPr>
              <w:t>差额</w:t>
            </w:r>
          </w:p>
        </w:tc>
      </w:tr>
      <w:tr>
        <w:tblPrEx>
          <w:tblCellMar>
            <w:top w:w="0" w:type="dxa"/>
            <w:left w:w="15" w:type="dxa"/>
            <w:bottom w:w="0" w:type="dxa"/>
            <w:right w:w="15" w:type="dxa"/>
          </w:tblCellMar>
        </w:tblPrEx>
        <w:trPr>
          <w:trHeight w:val="390" w:hRule="atLeast"/>
          <w:jc w:val="right"/>
        </w:trPr>
        <w:tc>
          <w:tcPr>
            <w:tcW w:w="2973" w:type="dxa"/>
            <w:tcBorders>
              <w:top w:val="single" w:color="000000" w:sz="4" w:space="0"/>
              <w:left w:val="single" w:color="000000" w:sz="4" w:space="0"/>
              <w:bottom w:val="single" w:color="000000" w:sz="4" w:space="0"/>
            </w:tcBorders>
            <w:vAlign w:val="center"/>
          </w:tcPr>
          <w:p>
            <w:pPr>
              <w:autoSpaceDN w:val="0"/>
              <w:spacing w:line="360" w:lineRule="auto"/>
              <w:jc w:val="left"/>
              <w:textAlignment w:val="center"/>
              <w:rPr>
                <w:rFonts w:ascii="仿宋" w:hAnsi="仿宋" w:eastAsia="仿宋" w:cs="仿宋"/>
                <w:color w:val="000000"/>
                <w:sz w:val="28"/>
                <w:szCs w:val="28"/>
              </w:rPr>
            </w:pPr>
            <w:r>
              <w:rPr>
                <w:rFonts w:hint="eastAsia" w:ascii="仿宋" w:hAnsi="仿宋" w:eastAsia="仿宋" w:cs="仿宋"/>
                <w:color w:val="000000"/>
                <w:sz w:val="28"/>
                <w:szCs w:val="28"/>
              </w:rPr>
              <w:t>工资福利支出</w:t>
            </w:r>
          </w:p>
        </w:tc>
        <w:tc>
          <w:tcPr>
            <w:tcW w:w="1724" w:type="dxa"/>
            <w:tcBorders>
              <w:top w:val="single" w:color="000000" w:sz="4" w:space="0"/>
              <w:left w:val="single" w:color="000000" w:sz="4" w:space="0"/>
              <w:bottom w:val="single" w:color="000000" w:sz="4" w:space="0"/>
              <w:right w:val="single" w:color="000000" w:sz="4" w:space="0"/>
            </w:tcBorders>
            <w:vAlign w:val="center"/>
          </w:tcPr>
          <w:p>
            <w:pPr>
              <w:autoSpaceDN w:val="0"/>
              <w:spacing w:line="360" w:lineRule="auto"/>
              <w:jc w:val="right"/>
              <w:textAlignment w:val="center"/>
              <w:rPr>
                <w:rFonts w:ascii="仿宋" w:hAnsi="仿宋" w:eastAsia="仿宋" w:cs="仿宋"/>
                <w:color w:val="000000"/>
                <w:sz w:val="28"/>
                <w:szCs w:val="28"/>
              </w:rPr>
            </w:pPr>
            <w:r>
              <w:rPr>
                <w:rFonts w:hint="eastAsia" w:ascii="仿宋" w:hAnsi="仿宋" w:eastAsia="仿宋" w:cs="仿宋"/>
                <w:color w:val="000000"/>
                <w:sz w:val="28"/>
                <w:szCs w:val="28"/>
              </w:rPr>
              <w:t>624.05</w:t>
            </w:r>
          </w:p>
        </w:tc>
        <w:tc>
          <w:tcPr>
            <w:tcW w:w="1748" w:type="dxa"/>
            <w:tcBorders>
              <w:top w:val="single" w:color="000000" w:sz="4" w:space="0"/>
              <w:left w:val="single" w:color="000000" w:sz="4" w:space="0"/>
              <w:bottom w:val="single" w:color="000000" w:sz="4" w:space="0"/>
              <w:right w:val="single" w:color="000000" w:sz="4" w:space="0"/>
            </w:tcBorders>
            <w:vAlign w:val="center"/>
          </w:tcPr>
          <w:p>
            <w:pPr>
              <w:autoSpaceDN w:val="0"/>
              <w:spacing w:line="360" w:lineRule="auto"/>
              <w:jc w:val="right"/>
              <w:textAlignment w:val="center"/>
              <w:rPr>
                <w:rFonts w:ascii="仿宋" w:hAnsi="仿宋" w:eastAsia="仿宋" w:cs="仿宋"/>
                <w:color w:val="000000"/>
                <w:sz w:val="28"/>
                <w:szCs w:val="28"/>
              </w:rPr>
            </w:pPr>
            <w:r>
              <w:rPr>
                <w:rFonts w:hint="eastAsia" w:ascii="仿宋" w:hAnsi="仿宋" w:eastAsia="仿宋" w:cs="仿宋"/>
                <w:color w:val="000000"/>
                <w:sz w:val="28"/>
                <w:szCs w:val="28"/>
              </w:rPr>
              <w:t>745.98</w:t>
            </w:r>
          </w:p>
        </w:tc>
        <w:tc>
          <w:tcPr>
            <w:tcW w:w="1943" w:type="dxa"/>
            <w:tcBorders>
              <w:top w:val="single" w:color="000000" w:sz="4" w:space="0"/>
              <w:left w:val="single" w:color="000000" w:sz="4" w:space="0"/>
              <w:bottom w:val="single" w:color="000000" w:sz="4" w:space="0"/>
              <w:right w:val="single" w:color="000000" w:sz="4" w:space="0"/>
            </w:tcBorders>
            <w:vAlign w:val="center"/>
          </w:tcPr>
          <w:p>
            <w:pPr>
              <w:spacing w:line="360" w:lineRule="auto"/>
              <w:jc w:val="right"/>
              <w:rPr>
                <w:rFonts w:ascii="仿宋" w:hAnsi="仿宋" w:eastAsia="仿宋" w:cs="仿宋"/>
                <w:color w:val="000000"/>
                <w:sz w:val="28"/>
                <w:szCs w:val="28"/>
              </w:rPr>
            </w:pPr>
            <w:r>
              <w:rPr>
                <w:rFonts w:ascii="仿宋" w:hAnsi="仿宋" w:eastAsia="仿宋" w:cs="仿宋"/>
                <w:color w:val="000000"/>
                <w:sz w:val="28"/>
                <w:szCs w:val="28"/>
              </w:rPr>
              <w:t>-</w:t>
            </w:r>
            <w:r>
              <w:rPr>
                <w:rFonts w:hint="eastAsia" w:ascii="仿宋" w:hAnsi="仿宋" w:eastAsia="仿宋" w:cs="仿宋"/>
                <w:color w:val="000000"/>
                <w:sz w:val="28"/>
                <w:szCs w:val="28"/>
              </w:rPr>
              <w:t>121.93</w:t>
            </w:r>
          </w:p>
        </w:tc>
      </w:tr>
      <w:tr>
        <w:tblPrEx>
          <w:tblCellMar>
            <w:top w:w="0" w:type="dxa"/>
            <w:left w:w="15" w:type="dxa"/>
            <w:bottom w:w="0" w:type="dxa"/>
            <w:right w:w="15" w:type="dxa"/>
          </w:tblCellMar>
        </w:tblPrEx>
        <w:trPr>
          <w:trHeight w:val="390" w:hRule="atLeast"/>
          <w:jc w:val="right"/>
        </w:trPr>
        <w:tc>
          <w:tcPr>
            <w:tcW w:w="2973" w:type="dxa"/>
            <w:tcBorders>
              <w:top w:val="single" w:color="000000" w:sz="4" w:space="0"/>
              <w:left w:val="single" w:color="000000" w:sz="4" w:space="0"/>
              <w:bottom w:val="single" w:color="000000" w:sz="4" w:space="0"/>
            </w:tcBorders>
            <w:vAlign w:val="center"/>
          </w:tcPr>
          <w:p>
            <w:pPr>
              <w:autoSpaceDN w:val="0"/>
              <w:spacing w:line="360" w:lineRule="auto"/>
              <w:jc w:val="left"/>
              <w:textAlignment w:val="center"/>
              <w:rPr>
                <w:rFonts w:ascii="仿宋" w:hAnsi="仿宋" w:eastAsia="仿宋" w:cs="仿宋"/>
                <w:color w:val="000000"/>
                <w:sz w:val="28"/>
                <w:szCs w:val="28"/>
              </w:rPr>
            </w:pPr>
            <w:r>
              <w:rPr>
                <w:rFonts w:hint="eastAsia" w:ascii="仿宋" w:hAnsi="仿宋" w:eastAsia="仿宋" w:cs="仿宋"/>
                <w:color w:val="000000"/>
                <w:sz w:val="28"/>
                <w:szCs w:val="28"/>
              </w:rPr>
              <w:t>对个人和家庭的补助</w:t>
            </w:r>
          </w:p>
        </w:tc>
        <w:tc>
          <w:tcPr>
            <w:tcW w:w="1724" w:type="dxa"/>
            <w:tcBorders>
              <w:top w:val="single" w:color="000000" w:sz="4" w:space="0"/>
              <w:left w:val="single" w:color="000000" w:sz="4" w:space="0"/>
              <w:bottom w:val="single" w:color="000000" w:sz="4" w:space="0"/>
              <w:right w:val="single" w:color="000000" w:sz="4" w:space="0"/>
            </w:tcBorders>
            <w:vAlign w:val="center"/>
          </w:tcPr>
          <w:p>
            <w:pPr>
              <w:autoSpaceDN w:val="0"/>
              <w:spacing w:line="360" w:lineRule="auto"/>
              <w:jc w:val="right"/>
              <w:textAlignment w:val="center"/>
              <w:rPr>
                <w:rFonts w:ascii="仿宋" w:hAnsi="仿宋" w:eastAsia="仿宋" w:cs="仿宋"/>
                <w:color w:val="000000"/>
                <w:sz w:val="28"/>
                <w:szCs w:val="28"/>
              </w:rPr>
            </w:pPr>
            <w:r>
              <w:rPr>
                <w:rFonts w:hint="eastAsia" w:ascii="仿宋" w:hAnsi="仿宋" w:eastAsia="仿宋" w:cs="仿宋"/>
                <w:color w:val="000000"/>
                <w:sz w:val="28"/>
                <w:szCs w:val="28"/>
              </w:rPr>
              <w:t>104.19</w:t>
            </w:r>
          </w:p>
        </w:tc>
        <w:tc>
          <w:tcPr>
            <w:tcW w:w="1748" w:type="dxa"/>
            <w:tcBorders>
              <w:top w:val="single" w:color="000000" w:sz="4" w:space="0"/>
              <w:left w:val="single" w:color="000000" w:sz="4" w:space="0"/>
              <w:bottom w:val="single" w:color="000000" w:sz="4" w:space="0"/>
              <w:right w:val="single" w:color="000000" w:sz="4" w:space="0"/>
            </w:tcBorders>
            <w:vAlign w:val="center"/>
          </w:tcPr>
          <w:p>
            <w:pPr>
              <w:autoSpaceDN w:val="0"/>
              <w:spacing w:line="360" w:lineRule="auto"/>
              <w:jc w:val="right"/>
              <w:textAlignment w:val="center"/>
              <w:rPr>
                <w:rFonts w:ascii="仿宋" w:hAnsi="仿宋" w:eastAsia="仿宋" w:cs="仿宋"/>
                <w:color w:val="000000"/>
                <w:sz w:val="28"/>
                <w:szCs w:val="28"/>
              </w:rPr>
            </w:pPr>
            <w:r>
              <w:rPr>
                <w:rFonts w:hint="eastAsia" w:ascii="仿宋" w:hAnsi="仿宋" w:eastAsia="仿宋" w:cs="仿宋"/>
                <w:color w:val="000000"/>
                <w:sz w:val="28"/>
                <w:szCs w:val="28"/>
              </w:rPr>
              <w:t>156.58</w:t>
            </w:r>
          </w:p>
        </w:tc>
        <w:tc>
          <w:tcPr>
            <w:tcW w:w="1943" w:type="dxa"/>
            <w:tcBorders>
              <w:top w:val="single" w:color="000000" w:sz="4" w:space="0"/>
              <w:left w:val="single" w:color="000000" w:sz="4" w:space="0"/>
              <w:bottom w:val="single" w:color="000000" w:sz="4" w:space="0"/>
              <w:right w:val="single" w:color="000000" w:sz="4" w:space="0"/>
            </w:tcBorders>
            <w:vAlign w:val="center"/>
          </w:tcPr>
          <w:p>
            <w:pPr>
              <w:spacing w:line="360" w:lineRule="auto"/>
              <w:jc w:val="right"/>
              <w:rPr>
                <w:rFonts w:ascii="仿宋" w:hAnsi="仿宋" w:eastAsia="仿宋" w:cs="仿宋"/>
                <w:color w:val="000000"/>
                <w:sz w:val="28"/>
                <w:szCs w:val="28"/>
              </w:rPr>
            </w:pPr>
            <w:r>
              <w:rPr>
                <w:rFonts w:ascii="仿宋" w:hAnsi="仿宋" w:eastAsia="仿宋" w:cs="仿宋"/>
                <w:color w:val="000000"/>
                <w:sz w:val="28"/>
                <w:szCs w:val="28"/>
              </w:rPr>
              <w:t>-</w:t>
            </w:r>
            <w:r>
              <w:rPr>
                <w:rFonts w:hint="eastAsia" w:ascii="仿宋" w:hAnsi="仿宋" w:eastAsia="仿宋" w:cs="仿宋"/>
                <w:color w:val="000000"/>
                <w:sz w:val="28"/>
                <w:szCs w:val="28"/>
              </w:rPr>
              <w:t>52.39</w:t>
            </w:r>
          </w:p>
        </w:tc>
      </w:tr>
      <w:tr>
        <w:tblPrEx>
          <w:tblCellMar>
            <w:top w:w="0" w:type="dxa"/>
            <w:left w:w="15" w:type="dxa"/>
            <w:bottom w:w="0" w:type="dxa"/>
            <w:right w:w="15" w:type="dxa"/>
          </w:tblCellMar>
        </w:tblPrEx>
        <w:trPr>
          <w:trHeight w:val="390" w:hRule="atLeast"/>
          <w:jc w:val="right"/>
        </w:trPr>
        <w:tc>
          <w:tcPr>
            <w:tcW w:w="2973" w:type="dxa"/>
            <w:tcBorders>
              <w:top w:val="single" w:color="000000" w:sz="4" w:space="0"/>
              <w:left w:val="single" w:color="000000" w:sz="4" w:space="0"/>
              <w:bottom w:val="single" w:color="000000" w:sz="4" w:space="0"/>
            </w:tcBorders>
            <w:vAlign w:val="center"/>
          </w:tcPr>
          <w:p>
            <w:pPr>
              <w:autoSpaceDN w:val="0"/>
              <w:spacing w:line="360" w:lineRule="auto"/>
              <w:jc w:val="left"/>
              <w:textAlignment w:val="center"/>
              <w:rPr>
                <w:rFonts w:ascii="仿宋" w:hAnsi="仿宋" w:eastAsia="仿宋" w:cs="仿宋"/>
                <w:color w:val="000000"/>
                <w:sz w:val="28"/>
                <w:szCs w:val="28"/>
              </w:rPr>
            </w:pPr>
            <w:r>
              <w:rPr>
                <w:rFonts w:hint="eastAsia" w:ascii="仿宋" w:hAnsi="仿宋" w:eastAsia="仿宋" w:cs="仿宋"/>
                <w:color w:val="000000"/>
                <w:sz w:val="28"/>
                <w:szCs w:val="28"/>
              </w:rPr>
              <w:t>商品和服务支出</w:t>
            </w:r>
          </w:p>
        </w:tc>
        <w:tc>
          <w:tcPr>
            <w:tcW w:w="1724" w:type="dxa"/>
            <w:tcBorders>
              <w:top w:val="single" w:color="000000" w:sz="4" w:space="0"/>
              <w:left w:val="single" w:color="000000" w:sz="4" w:space="0"/>
              <w:bottom w:val="single" w:color="000000" w:sz="4" w:space="0"/>
              <w:right w:val="single" w:color="000000" w:sz="4" w:space="0"/>
            </w:tcBorders>
            <w:vAlign w:val="center"/>
          </w:tcPr>
          <w:p>
            <w:pPr>
              <w:autoSpaceDN w:val="0"/>
              <w:spacing w:line="360" w:lineRule="auto"/>
              <w:jc w:val="right"/>
              <w:textAlignment w:val="center"/>
              <w:rPr>
                <w:rFonts w:ascii="仿宋" w:hAnsi="仿宋" w:eastAsia="仿宋" w:cs="仿宋"/>
                <w:color w:val="000000"/>
                <w:sz w:val="28"/>
                <w:szCs w:val="28"/>
              </w:rPr>
            </w:pPr>
            <w:r>
              <w:rPr>
                <w:rFonts w:hint="eastAsia" w:ascii="仿宋" w:hAnsi="仿宋" w:eastAsia="仿宋" w:cs="仿宋"/>
                <w:color w:val="000000"/>
                <w:sz w:val="28"/>
                <w:szCs w:val="28"/>
              </w:rPr>
              <w:t>105.94</w:t>
            </w:r>
          </w:p>
        </w:tc>
        <w:tc>
          <w:tcPr>
            <w:tcW w:w="1748" w:type="dxa"/>
            <w:tcBorders>
              <w:top w:val="single" w:color="000000" w:sz="4" w:space="0"/>
              <w:left w:val="single" w:color="000000" w:sz="4" w:space="0"/>
              <w:bottom w:val="single" w:color="000000" w:sz="4" w:space="0"/>
              <w:right w:val="single" w:color="000000" w:sz="4" w:space="0"/>
            </w:tcBorders>
            <w:vAlign w:val="center"/>
          </w:tcPr>
          <w:p>
            <w:pPr>
              <w:autoSpaceDN w:val="0"/>
              <w:spacing w:line="360" w:lineRule="auto"/>
              <w:jc w:val="right"/>
              <w:textAlignment w:val="center"/>
              <w:rPr>
                <w:rFonts w:ascii="仿宋" w:hAnsi="仿宋" w:eastAsia="仿宋" w:cs="仿宋"/>
                <w:color w:val="000000"/>
                <w:sz w:val="28"/>
                <w:szCs w:val="28"/>
              </w:rPr>
            </w:pPr>
            <w:r>
              <w:rPr>
                <w:rFonts w:hint="eastAsia" w:ascii="仿宋" w:hAnsi="仿宋" w:eastAsia="仿宋" w:cs="仿宋"/>
                <w:color w:val="000000"/>
                <w:sz w:val="28"/>
                <w:szCs w:val="28"/>
              </w:rPr>
              <w:t>97.86</w:t>
            </w:r>
          </w:p>
        </w:tc>
        <w:tc>
          <w:tcPr>
            <w:tcW w:w="1943" w:type="dxa"/>
            <w:tcBorders>
              <w:top w:val="single" w:color="000000" w:sz="4" w:space="0"/>
              <w:left w:val="single" w:color="000000" w:sz="4" w:space="0"/>
              <w:bottom w:val="single" w:color="000000" w:sz="4" w:space="0"/>
              <w:right w:val="single" w:color="000000" w:sz="4" w:space="0"/>
            </w:tcBorders>
            <w:vAlign w:val="center"/>
          </w:tcPr>
          <w:p>
            <w:pPr>
              <w:spacing w:line="360" w:lineRule="auto"/>
              <w:jc w:val="right"/>
              <w:rPr>
                <w:rFonts w:ascii="仿宋" w:hAnsi="仿宋" w:eastAsia="仿宋" w:cs="仿宋"/>
                <w:color w:val="000000"/>
                <w:sz w:val="28"/>
                <w:szCs w:val="28"/>
              </w:rPr>
            </w:pPr>
            <w:r>
              <w:rPr>
                <w:rFonts w:hint="eastAsia" w:ascii="仿宋" w:hAnsi="仿宋" w:eastAsia="仿宋" w:cs="仿宋"/>
                <w:color w:val="000000"/>
                <w:sz w:val="28"/>
                <w:szCs w:val="28"/>
              </w:rPr>
              <w:t>8.08</w:t>
            </w:r>
          </w:p>
        </w:tc>
      </w:tr>
      <w:tr>
        <w:tblPrEx>
          <w:tblCellMar>
            <w:top w:w="0" w:type="dxa"/>
            <w:left w:w="15" w:type="dxa"/>
            <w:bottom w:w="0" w:type="dxa"/>
            <w:right w:w="15" w:type="dxa"/>
          </w:tblCellMar>
        </w:tblPrEx>
        <w:trPr>
          <w:trHeight w:val="390" w:hRule="atLeast"/>
          <w:jc w:val="right"/>
        </w:trPr>
        <w:tc>
          <w:tcPr>
            <w:tcW w:w="2973" w:type="dxa"/>
            <w:tcBorders>
              <w:top w:val="single" w:color="000000" w:sz="4" w:space="0"/>
              <w:left w:val="single" w:color="000000" w:sz="4" w:space="0"/>
              <w:bottom w:val="single" w:color="000000" w:sz="4" w:space="0"/>
            </w:tcBorders>
            <w:vAlign w:val="center"/>
          </w:tcPr>
          <w:p>
            <w:pPr>
              <w:autoSpaceDN w:val="0"/>
              <w:spacing w:line="360" w:lineRule="auto"/>
              <w:jc w:val="center"/>
              <w:textAlignment w:val="center"/>
              <w:rPr>
                <w:rFonts w:ascii="仿宋" w:hAnsi="仿宋" w:eastAsia="仿宋" w:cs="仿宋"/>
                <w:color w:val="000000"/>
                <w:sz w:val="28"/>
                <w:szCs w:val="28"/>
              </w:rPr>
            </w:pPr>
            <w:r>
              <w:rPr>
                <w:rFonts w:hint="eastAsia" w:ascii="仿宋" w:hAnsi="仿宋" w:eastAsia="仿宋" w:cs="仿宋"/>
                <w:color w:val="000000"/>
                <w:sz w:val="28"/>
                <w:szCs w:val="28"/>
              </w:rPr>
              <w:t>合计</w:t>
            </w:r>
          </w:p>
        </w:tc>
        <w:tc>
          <w:tcPr>
            <w:tcW w:w="1724" w:type="dxa"/>
            <w:tcBorders>
              <w:top w:val="single" w:color="000000" w:sz="4" w:space="0"/>
              <w:left w:val="single" w:color="000000" w:sz="4" w:space="0"/>
              <w:bottom w:val="single" w:color="000000" w:sz="4" w:space="0"/>
              <w:right w:val="single" w:color="000000" w:sz="4" w:space="0"/>
            </w:tcBorders>
            <w:vAlign w:val="center"/>
          </w:tcPr>
          <w:p>
            <w:pPr>
              <w:autoSpaceDN w:val="0"/>
              <w:spacing w:line="360" w:lineRule="auto"/>
              <w:jc w:val="right"/>
              <w:textAlignment w:val="center"/>
              <w:rPr>
                <w:rFonts w:ascii="仿宋" w:hAnsi="仿宋" w:eastAsia="仿宋" w:cs="仿宋"/>
                <w:color w:val="000000"/>
                <w:sz w:val="28"/>
                <w:szCs w:val="28"/>
              </w:rPr>
            </w:pPr>
            <w:r>
              <w:rPr>
                <w:rFonts w:hint="eastAsia" w:ascii="仿宋" w:hAnsi="仿宋" w:eastAsia="仿宋" w:cs="仿宋"/>
                <w:color w:val="000000"/>
                <w:sz w:val="28"/>
                <w:szCs w:val="28"/>
              </w:rPr>
              <w:t>834.18</w:t>
            </w:r>
          </w:p>
        </w:tc>
        <w:tc>
          <w:tcPr>
            <w:tcW w:w="1748" w:type="dxa"/>
            <w:tcBorders>
              <w:top w:val="single" w:color="000000" w:sz="4" w:space="0"/>
              <w:left w:val="single" w:color="000000" w:sz="4" w:space="0"/>
              <w:bottom w:val="single" w:color="000000" w:sz="4" w:space="0"/>
              <w:right w:val="single" w:color="000000" w:sz="4" w:space="0"/>
            </w:tcBorders>
            <w:vAlign w:val="center"/>
          </w:tcPr>
          <w:p>
            <w:pPr>
              <w:autoSpaceDN w:val="0"/>
              <w:spacing w:line="360" w:lineRule="auto"/>
              <w:jc w:val="right"/>
              <w:textAlignment w:val="center"/>
              <w:rPr>
                <w:rFonts w:ascii="仿宋" w:hAnsi="仿宋" w:eastAsia="仿宋" w:cs="仿宋"/>
                <w:color w:val="000000"/>
                <w:sz w:val="28"/>
                <w:szCs w:val="28"/>
              </w:rPr>
            </w:pPr>
            <w:r>
              <w:rPr>
                <w:rFonts w:hint="eastAsia" w:ascii="仿宋" w:hAnsi="仿宋" w:eastAsia="仿宋" w:cs="仿宋"/>
                <w:color w:val="000000"/>
                <w:sz w:val="28"/>
                <w:szCs w:val="28"/>
              </w:rPr>
              <w:t>1000.42</w:t>
            </w:r>
          </w:p>
        </w:tc>
        <w:tc>
          <w:tcPr>
            <w:tcW w:w="1943" w:type="dxa"/>
            <w:tcBorders>
              <w:top w:val="single" w:color="000000" w:sz="4" w:space="0"/>
              <w:left w:val="single" w:color="000000" w:sz="4" w:space="0"/>
              <w:bottom w:val="single" w:color="000000" w:sz="4" w:space="0"/>
              <w:right w:val="single" w:color="000000" w:sz="4" w:space="0"/>
            </w:tcBorders>
            <w:vAlign w:val="center"/>
          </w:tcPr>
          <w:p>
            <w:pPr>
              <w:spacing w:line="360" w:lineRule="auto"/>
              <w:jc w:val="right"/>
              <w:rPr>
                <w:rFonts w:ascii="仿宋" w:hAnsi="仿宋" w:eastAsia="仿宋" w:cs="仿宋"/>
                <w:color w:val="000000"/>
                <w:sz w:val="28"/>
                <w:szCs w:val="28"/>
              </w:rPr>
            </w:pPr>
            <w:r>
              <w:rPr>
                <w:rFonts w:hint="eastAsia" w:ascii="仿宋" w:hAnsi="仿宋" w:eastAsia="仿宋" w:cs="仿宋"/>
                <w:color w:val="000000"/>
                <w:sz w:val="28"/>
                <w:szCs w:val="28"/>
              </w:rPr>
              <w:t>-166.24</w:t>
            </w:r>
          </w:p>
        </w:tc>
      </w:tr>
    </w:tbl>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napToGrid w:val="0"/>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从上表反映，本单位基本支出预算超支166.24万元，其中：工资福利超支121.93万元，对个人和家庭的补助超支52.39万元，商品和服务支出节约8.08万元。</w:t>
      </w:r>
    </w:p>
    <w:p>
      <w:pPr>
        <w:pStyle w:val="4"/>
        <w:spacing w:line="360" w:lineRule="auto"/>
        <w:ind w:firstLine="642" w:firstLineChars="200"/>
        <w:rPr>
          <w:rFonts w:ascii="仿宋" w:hAnsi="仿宋" w:eastAsia="仿宋" w:cs="仿宋"/>
          <w:color w:val="000000"/>
          <w:szCs w:val="32"/>
        </w:rPr>
      </w:pPr>
      <w:bookmarkStart w:id="7" w:name="_Toc5261"/>
      <w:bookmarkStart w:id="8" w:name="_Toc4941"/>
      <w:r>
        <w:rPr>
          <w:rFonts w:ascii="仿宋" w:hAnsi="仿宋" w:eastAsia="仿宋" w:cs="仿宋"/>
        </w:rPr>
        <w:t>3</w:t>
      </w:r>
      <w:r>
        <w:rPr>
          <w:rFonts w:hint="eastAsia" w:ascii="仿宋" w:hAnsi="仿宋" w:eastAsia="仿宋" w:cs="仿宋"/>
        </w:rPr>
        <w:t>、“三公经费”支出使用和管理情况</w:t>
      </w:r>
      <w:bookmarkEnd w:id="7"/>
      <w:bookmarkEnd w:id="8"/>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napToGrid w:val="0"/>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2019年本单位“三公经费”预算金额</w:t>
      </w:r>
      <w:r>
        <w:rPr>
          <w:rFonts w:ascii="仿宋" w:hAnsi="仿宋" w:eastAsia="仿宋" w:cs="仿宋"/>
          <w:color w:val="000000"/>
          <w:sz w:val="32"/>
          <w:szCs w:val="32"/>
        </w:rPr>
        <w:t>28.00</w:t>
      </w:r>
      <w:r>
        <w:rPr>
          <w:rFonts w:hint="eastAsia" w:ascii="仿宋" w:hAnsi="仿宋" w:eastAsia="仿宋" w:cs="仿宋"/>
          <w:color w:val="000000"/>
          <w:sz w:val="32"/>
          <w:szCs w:val="32"/>
        </w:rPr>
        <w:t>万元，其中公务接待费</w:t>
      </w:r>
      <w:r>
        <w:rPr>
          <w:rFonts w:ascii="仿宋" w:hAnsi="仿宋" w:eastAsia="仿宋" w:cs="仿宋"/>
          <w:color w:val="000000"/>
          <w:sz w:val="32"/>
          <w:szCs w:val="32"/>
        </w:rPr>
        <w:t>13.00</w:t>
      </w:r>
      <w:r>
        <w:rPr>
          <w:rFonts w:hint="eastAsia" w:ascii="仿宋" w:hAnsi="仿宋" w:eastAsia="仿宋" w:cs="仿宋"/>
          <w:color w:val="000000"/>
          <w:sz w:val="32"/>
          <w:szCs w:val="32"/>
        </w:rPr>
        <w:t>万元，因公出国（境）费</w:t>
      </w:r>
      <w:r>
        <w:rPr>
          <w:rFonts w:ascii="仿宋" w:hAnsi="仿宋" w:eastAsia="仿宋" w:cs="仿宋"/>
          <w:color w:val="000000"/>
          <w:sz w:val="32"/>
          <w:szCs w:val="32"/>
        </w:rPr>
        <w:t>10.00</w:t>
      </w:r>
      <w:r>
        <w:rPr>
          <w:rFonts w:hint="eastAsia" w:ascii="仿宋" w:hAnsi="仿宋" w:eastAsia="仿宋" w:cs="仿宋"/>
          <w:color w:val="000000"/>
          <w:sz w:val="32"/>
          <w:szCs w:val="32"/>
        </w:rPr>
        <w:t>万元，公务用车运行费</w:t>
      </w:r>
      <w:r>
        <w:rPr>
          <w:rFonts w:ascii="仿宋" w:hAnsi="仿宋" w:eastAsia="仿宋" w:cs="仿宋"/>
          <w:color w:val="000000"/>
          <w:sz w:val="32"/>
          <w:szCs w:val="32"/>
        </w:rPr>
        <w:t>5.00</w:t>
      </w:r>
      <w:r>
        <w:rPr>
          <w:rFonts w:hint="eastAsia" w:ascii="仿宋" w:hAnsi="仿宋" w:eastAsia="仿宋" w:cs="仿宋"/>
          <w:color w:val="000000"/>
          <w:sz w:val="32"/>
          <w:szCs w:val="32"/>
        </w:rPr>
        <w:t>万元；2019年本单位“三公经费”决算金额为27.92万元，其中公务接待费</w:t>
      </w:r>
      <w:r>
        <w:rPr>
          <w:rFonts w:ascii="仿宋" w:hAnsi="仿宋" w:eastAsia="仿宋" w:cs="仿宋"/>
          <w:color w:val="000000"/>
          <w:sz w:val="32"/>
          <w:szCs w:val="32"/>
        </w:rPr>
        <w:t>6.</w:t>
      </w:r>
      <w:r>
        <w:rPr>
          <w:rFonts w:hint="eastAsia" w:ascii="仿宋" w:hAnsi="仿宋" w:eastAsia="仿宋" w:cs="仿宋"/>
          <w:color w:val="000000"/>
          <w:sz w:val="32"/>
          <w:szCs w:val="32"/>
        </w:rPr>
        <w:t>5</w:t>
      </w:r>
      <w:r>
        <w:rPr>
          <w:rFonts w:ascii="仿宋" w:hAnsi="仿宋" w:eastAsia="仿宋" w:cs="仿宋"/>
          <w:color w:val="000000"/>
          <w:sz w:val="32"/>
          <w:szCs w:val="32"/>
        </w:rPr>
        <w:t>2</w:t>
      </w:r>
      <w:r>
        <w:rPr>
          <w:rFonts w:hint="eastAsia" w:ascii="仿宋" w:hAnsi="仿宋" w:eastAsia="仿宋" w:cs="仿宋"/>
          <w:color w:val="000000"/>
          <w:sz w:val="32"/>
          <w:szCs w:val="32"/>
        </w:rPr>
        <w:t>万元，因公出国（境）费1.41万元，公务用车运行费19.99万元；2019年“三公经费”结余0.08万元，总额控制较好。</w:t>
      </w:r>
    </w:p>
    <w:p>
      <w:pPr>
        <w:pStyle w:val="3"/>
        <w:numPr>
          <w:ilvl w:val="0"/>
          <w:numId w:val="1"/>
        </w:numPr>
        <w:spacing w:line="360" w:lineRule="auto"/>
        <w:rPr>
          <w:rFonts w:ascii="仿宋" w:hAnsi="仿宋" w:eastAsia="仿宋" w:cs="仿宋"/>
        </w:rPr>
      </w:pPr>
      <w:bookmarkStart w:id="9" w:name="_Toc18109"/>
      <w:r>
        <w:rPr>
          <w:rFonts w:hint="eastAsia" w:ascii="仿宋" w:hAnsi="仿宋" w:eastAsia="仿宋" w:cs="仿宋"/>
        </w:rPr>
        <w:t>项目支出管理情况</w:t>
      </w:r>
      <w:bookmarkEnd w:id="9"/>
    </w:p>
    <w:p>
      <w:pPr>
        <w:pStyle w:val="4"/>
        <w:numPr>
          <w:ilvl w:val="0"/>
          <w:numId w:val="0"/>
        </w:numPr>
        <w:spacing w:line="360" w:lineRule="auto"/>
        <w:ind w:firstLine="642" w:firstLineChars="200"/>
        <w:rPr>
          <w:rFonts w:ascii="仿宋" w:hAnsi="仿宋" w:eastAsia="仿宋" w:cs="仿宋"/>
        </w:rPr>
      </w:pPr>
      <w:bookmarkStart w:id="10" w:name="_Toc15315"/>
      <w:r>
        <w:rPr>
          <w:rFonts w:hint="eastAsia" w:ascii="仿宋" w:hAnsi="仿宋" w:eastAsia="仿宋" w:cs="仿宋"/>
          <w:lang w:val="en-US" w:eastAsia="zh-CN"/>
        </w:rPr>
        <w:t>1、</w:t>
      </w:r>
      <w:r>
        <w:rPr>
          <w:rFonts w:hint="eastAsia" w:ascii="仿宋" w:hAnsi="仿宋" w:eastAsia="仿宋" w:cs="仿宋"/>
        </w:rPr>
        <w:t>项目资金本年使用情况</w:t>
      </w:r>
      <w:bookmarkEnd w:id="10"/>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napToGrid w:val="0"/>
        <w:spacing w:line="360" w:lineRule="auto"/>
        <w:ind w:firstLine="640" w:firstLineChars="200"/>
        <w:rPr>
          <w:rFonts w:ascii="仿宋" w:hAnsi="仿宋" w:eastAsia="仿宋" w:cs="仿宋"/>
          <w:color w:val="000000"/>
          <w:sz w:val="32"/>
          <w:szCs w:val="32"/>
        </w:rPr>
      </w:pPr>
      <w:r>
        <w:rPr>
          <w:rFonts w:hint="eastAsia" w:ascii="仿宋" w:hAnsi="仿宋" w:eastAsia="仿宋" w:cs="仿宋"/>
          <w:sz w:val="32"/>
          <w:szCs w:val="32"/>
        </w:rPr>
        <w:t>2019年项目资金预算支出为166.92万元，本年实际项目支出实际支出</w:t>
      </w:r>
      <w:r>
        <w:rPr>
          <w:rFonts w:ascii="仿宋" w:hAnsi="仿宋" w:eastAsia="仿宋" w:cs="仿宋"/>
          <w:sz w:val="32"/>
          <w:szCs w:val="32"/>
        </w:rPr>
        <w:t>27</w:t>
      </w:r>
      <w:r>
        <w:rPr>
          <w:rFonts w:hint="eastAsia" w:ascii="仿宋" w:hAnsi="仿宋" w:eastAsia="仿宋" w:cs="仿宋"/>
          <w:sz w:val="32"/>
          <w:szCs w:val="32"/>
        </w:rPr>
        <w:t>4</w:t>
      </w:r>
      <w:r>
        <w:rPr>
          <w:rFonts w:ascii="仿宋" w:hAnsi="仿宋" w:eastAsia="仿宋" w:cs="仿宋"/>
          <w:sz w:val="32"/>
          <w:szCs w:val="32"/>
        </w:rPr>
        <w:t>.13</w:t>
      </w:r>
      <w:r>
        <w:rPr>
          <w:rFonts w:hint="eastAsia" w:ascii="仿宋" w:hAnsi="仿宋" w:eastAsia="仿宋" w:cs="仿宋"/>
          <w:sz w:val="32"/>
          <w:szCs w:val="32"/>
        </w:rPr>
        <w:t>万元，其中：商品和服务支出241.25万元，对个人和家庭的补助5.44万元。</w:t>
      </w:r>
    </w:p>
    <w:p>
      <w:pPr>
        <w:pStyle w:val="4"/>
        <w:spacing w:line="360" w:lineRule="auto"/>
        <w:ind w:firstLine="642" w:firstLineChars="200"/>
        <w:rPr>
          <w:rFonts w:ascii="仿宋" w:hAnsi="仿宋" w:eastAsia="仿宋" w:cs="仿宋"/>
        </w:rPr>
      </w:pPr>
      <w:bookmarkStart w:id="11" w:name="_Toc3281"/>
      <w:r>
        <w:rPr>
          <w:rFonts w:ascii="仿宋" w:hAnsi="仿宋" w:eastAsia="仿宋" w:cs="仿宋"/>
        </w:rPr>
        <w:t>2</w:t>
      </w:r>
      <w:r>
        <w:rPr>
          <w:rFonts w:hint="eastAsia" w:ascii="仿宋" w:hAnsi="仿宋" w:eastAsia="仿宋" w:cs="仿宋"/>
        </w:rPr>
        <w:t>、本年项目资金实际使用情况分析</w:t>
      </w:r>
      <w:bookmarkEnd w:id="11"/>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本单位项目资金实际支出274.13万元，一般公共服务支出274.13万元，其中：商品和服务支出207.25万元，对个人和家庭的补助3.34万元；卫生健康支出</w:t>
      </w:r>
      <w:r>
        <w:rPr>
          <w:rFonts w:ascii="仿宋" w:hAnsi="仿宋" w:eastAsia="仿宋" w:cs="仿宋"/>
          <w:sz w:val="32"/>
          <w:szCs w:val="32"/>
        </w:rPr>
        <w:t>2.</w:t>
      </w:r>
      <w:r>
        <w:rPr>
          <w:rFonts w:hint="eastAsia" w:ascii="仿宋" w:hAnsi="仿宋" w:eastAsia="仿宋" w:cs="仿宋"/>
          <w:sz w:val="32"/>
          <w:szCs w:val="32"/>
        </w:rPr>
        <w:t>1</w:t>
      </w:r>
      <w:r>
        <w:rPr>
          <w:rFonts w:ascii="仿宋" w:hAnsi="仿宋" w:eastAsia="仿宋" w:cs="仿宋"/>
          <w:sz w:val="32"/>
          <w:szCs w:val="32"/>
        </w:rPr>
        <w:t>0</w:t>
      </w:r>
      <w:r>
        <w:rPr>
          <w:rFonts w:hint="eastAsia" w:ascii="仿宋" w:hAnsi="仿宋" w:eastAsia="仿宋" w:cs="仿宋"/>
          <w:sz w:val="32"/>
          <w:szCs w:val="32"/>
        </w:rPr>
        <w:t>万元，其中：对个人和家庭的补助2.1万元；商业服务业等支出</w:t>
      </w:r>
      <w:r>
        <w:rPr>
          <w:rFonts w:ascii="仿宋" w:hAnsi="仿宋" w:eastAsia="仿宋" w:cs="仿宋"/>
          <w:sz w:val="32"/>
          <w:szCs w:val="32"/>
        </w:rPr>
        <w:t>3</w:t>
      </w:r>
      <w:r>
        <w:rPr>
          <w:rFonts w:hint="eastAsia" w:ascii="仿宋" w:hAnsi="仿宋" w:eastAsia="仿宋" w:cs="仿宋"/>
          <w:sz w:val="32"/>
          <w:szCs w:val="32"/>
        </w:rPr>
        <w:t>4</w:t>
      </w:r>
      <w:r>
        <w:rPr>
          <w:rFonts w:ascii="仿宋" w:hAnsi="仿宋" w:eastAsia="仿宋" w:cs="仿宋"/>
          <w:sz w:val="32"/>
          <w:szCs w:val="32"/>
        </w:rPr>
        <w:t>.00</w:t>
      </w:r>
      <w:r>
        <w:rPr>
          <w:rFonts w:hint="eastAsia" w:ascii="仿宋" w:hAnsi="仿宋" w:eastAsia="仿宋" w:cs="仿宋"/>
          <w:sz w:val="32"/>
          <w:szCs w:val="32"/>
        </w:rPr>
        <w:t>万元，其中：商品和服务支出</w:t>
      </w:r>
      <w:r>
        <w:rPr>
          <w:rFonts w:ascii="仿宋" w:hAnsi="仿宋" w:eastAsia="仿宋" w:cs="仿宋"/>
          <w:sz w:val="32"/>
          <w:szCs w:val="32"/>
        </w:rPr>
        <w:t>3</w:t>
      </w:r>
      <w:r>
        <w:rPr>
          <w:rFonts w:hint="eastAsia" w:ascii="仿宋" w:hAnsi="仿宋" w:eastAsia="仿宋" w:cs="仿宋"/>
          <w:sz w:val="32"/>
          <w:szCs w:val="32"/>
        </w:rPr>
        <w:t>4</w:t>
      </w:r>
      <w:r>
        <w:rPr>
          <w:rFonts w:ascii="仿宋" w:hAnsi="仿宋" w:eastAsia="仿宋" w:cs="仿宋"/>
          <w:sz w:val="32"/>
          <w:szCs w:val="32"/>
        </w:rPr>
        <w:t>.00</w:t>
      </w:r>
      <w:r>
        <w:rPr>
          <w:rFonts w:hint="eastAsia" w:ascii="仿宋" w:hAnsi="仿宋" w:eastAsia="仿宋" w:cs="仿宋"/>
          <w:sz w:val="32"/>
          <w:szCs w:val="32"/>
        </w:rPr>
        <w:t>万元。</w:t>
      </w:r>
    </w:p>
    <w:p>
      <w:pPr>
        <w:pStyle w:val="4"/>
        <w:spacing w:line="360" w:lineRule="auto"/>
        <w:ind w:firstLine="642" w:firstLineChars="200"/>
        <w:rPr>
          <w:rFonts w:ascii="仿宋" w:hAnsi="仿宋" w:eastAsia="仿宋" w:cs="仿宋"/>
        </w:rPr>
      </w:pPr>
      <w:bookmarkStart w:id="12" w:name="_Toc11715"/>
      <w:r>
        <w:rPr>
          <w:rFonts w:ascii="仿宋" w:hAnsi="仿宋" w:eastAsia="仿宋" w:cs="仿宋"/>
        </w:rPr>
        <w:t>3</w:t>
      </w:r>
      <w:r>
        <w:rPr>
          <w:rFonts w:hint="eastAsia" w:ascii="仿宋" w:hAnsi="仿宋" w:eastAsia="仿宋" w:cs="仿宋"/>
        </w:rPr>
        <w:t>、项目资金管理情况分析</w:t>
      </w:r>
      <w:bookmarkEnd w:id="12"/>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w:t>
      </w:r>
      <w:r>
        <w:rPr>
          <w:rFonts w:ascii="仿宋" w:hAnsi="仿宋" w:eastAsia="仿宋" w:cs="仿宋"/>
          <w:sz w:val="32"/>
          <w:szCs w:val="32"/>
        </w:rPr>
        <w:t>1</w:t>
      </w:r>
      <w:r>
        <w:rPr>
          <w:rFonts w:hint="eastAsia" w:ascii="仿宋" w:hAnsi="仿宋" w:eastAsia="仿宋" w:cs="仿宋"/>
          <w:sz w:val="32"/>
          <w:szCs w:val="32"/>
        </w:rPr>
        <w:t>）科学合理安排项目资金。及早谋划，紧紧围绕我市非公经济重点工作，严把项目审查关，本着“量入为出、统筹安排、保证重点、注重绩效”的原则，认真组织项目前期申报及论证工作。</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w:t>
      </w:r>
      <w:r>
        <w:rPr>
          <w:rFonts w:ascii="仿宋" w:hAnsi="仿宋" w:eastAsia="仿宋" w:cs="仿宋"/>
          <w:sz w:val="32"/>
          <w:szCs w:val="32"/>
        </w:rPr>
        <w:t>2</w:t>
      </w:r>
      <w:r>
        <w:rPr>
          <w:rFonts w:hint="eastAsia" w:ascii="仿宋" w:hAnsi="仿宋" w:eastAsia="仿宋" w:cs="仿宋"/>
          <w:sz w:val="32"/>
          <w:szCs w:val="32"/>
        </w:rPr>
        <w:t>）加强项目资金的监管。加强项目实施进度跟踪监管，定期调度，掌握项目进展情况，及时发现并积极解决存在的问题，加快项目实施进度，严格项目实施质量，不断提高资金的使用效益。</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napToGrid w:val="0"/>
        <w:spacing w:line="360" w:lineRule="auto"/>
        <w:ind w:firstLine="640" w:firstLineChars="200"/>
      </w:pPr>
      <w:r>
        <w:rPr>
          <w:rFonts w:hint="eastAsia" w:ascii="仿宋" w:hAnsi="仿宋" w:eastAsia="仿宋" w:cs="仿宋"/>
          <w:sz w:val="32"/>
          <w:szCs w:val="32"/>
        </w:rPr>
        <w:t>（</w:t>
      </w:r>
      <w:r>
        <w:rPr>
          <w:rFonts w:ascii="仿宋" w:hAnsi="仿宋" w:eastAsia="仿宋" w:cs="仿宋"/>
          <w:sz w:val="32"/>
          <w:szCs w:val="32"/>
        </w:rPr>
        <w:t>3</w:t>
      </w:r>
      <w:r>
        <w:rPr>
          <w:rFonts w:hint="eastAsia" w:ascii="仿宋" w:hAnsi="仿宋" w:eastAsia="仿宋" w:cs="仿宋"/>
          <w:sz w:val="32"/>
          <w:szCs w:val="32"/>
        </w:rPr>
        <w:t>）规范资金使用，严格项目验收。严格落实各项要求，对属于政府采购范围的项目，按照财政部门要求编制政府采购计划，实行政府采购，确保专款专用。严格按照相关的验收管理办法，项目验收合格后方可办理资金支付手续，确保财政资金安全及使用效益。</w:t>
      </w:r>
    </w:p>
    <w:p>
      <w:pPr>
        <w:pStyle w:val="2"/>
        <w:spacing w:line="360" w:lineRule="auto"/>
        <w:rPr>
          <w:rFonts w:ascii="仿宋" w:hAnsi="仿宋" w:eastAsia="仿宋" w:cs="仿宋"/>
        </w:rPr>
      </w:pPr>
      <w:bookmarkStart w:id="13" w:name="_Toc24860"/>
      <w:r>
        <w:rPr>
          <w:rFonts w:hint="eastAsia" w:ascii="仿宋" w:hAnsi="仿宋" w:eastAsia="仿宋" w:cs="仿宋"/>
        </w:rPr>
        <w:t>三、部门项目组织实施情况</w:t>
      </w:r>
      <w:bookmarkEnd w:id="13"/>
    </w:p>
    <w:p>
      <w:pPr>
        <w:pStyle w:val="3"/>
        <w:spacing w:line="360" w:lineRule="auto"/>
        <w:rPr>
          <w:rFonts w:ascii="仿宋" w:hAnsi="仿宋" w:eastAsia="仿宋" w:cs="仿宋"/>
        </w:rPr>
      </w:pPr>
      <w:bookmarkStart w:id="14" w:name="_Toc13069"/>
      <w:bookmarkStart w:id="15" w:name="_Toc20154"/>
      <w:r>
        <w:rPr>
          <w:rFonts w:hint="eastAsia" w:ascii="仿宋" w:hAnsi="仿宋" w:eastAsia="仿宋" w:cs="仿宋"/>
        </w:rPr>
        <w:t>（一）项目组织情况分析</w:t>
      </w:r>
      <w:bookmarkEnd w:id="14"/>
      <w:bookmarkEnd w:id="15"/>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napToGrid w:val="0"/>
        <w:spacing w:line="360" w:lineRule="auto"/>
        <w:ind w:firstLine="640" w:firstLineChars="200"/>
        <w:rPr>
          <w:rFonts w:ascii="仿宋" w:hAnsi="仿宋" w:eastAsia="仿宋" w:cs="仿宋"/>
          <w:sz w:val="32"/>
          <w:szCs w:val="32"/>
        </w:rPr>
      </w:pPr>
      <w:r>
        <w:rPr>
          <w:rFonts w:ascii="仿宋" w:hAnsi="仿宋" w:eastAsia="仿宋" w:cs="仿宋"/>
          <w:sz w:val="32"/>
          <w:szCs w:val="32"/>
        </w:rPr>
        <w:t>1</w:t>
      </w:r>
      <w:r>
        <w:rPr>
          <w:rFonts w:hint="eastAsia" w:ascii="仿宋" w:hAnsi="仿宋" w:eastAsia="仿宋" w:cs="仿宋"/>
          <w:sz w:val="32"/>
          <w:szCs w:val="32"/>
        </w:rPr>
        <w:t>、科学合理安排项目资金。及早谋划，紧紧围绕我市非公经济重点工作，严把项目审查关，本着“量入为出、统筹安排、保证重点、注重绩效”的原则，认真组织项目前期申报及论证工作。　</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napToGrid w:val="0"/>
        <w:spacing w:line="360" w:lineRule="auto"/>
        <w:ind w:firstLine="640" w:firstLineChars="200"/>
        <w:rPr>
          <w:rFonts w:ascii="仿宋" w:hAnsi="仿宋" w:eastAsia="仿宋" w:cs="仿宋"/>
          <w:sz w:val="32"/>
          <w:szCs w:val="32"/>
        </w:rPr>
      </w:pPr>
      <w:r>
        <w:rPr>
          <w:rFonts w:ascii="仿宋" w:hAnsi="仿宋" w:eastAsia="仿宋" w:cs="仿宋"/>
          <w:sz w:val="32"/>
          <w:szCs w:val="32"/>
        </w:rPr>
        <w:t>2</w:t>
      </w:r>
      <w:r>
        <w:rPr>
          <w:rFonts w:hint="eastAsia" w:ascii="仿宋" w:hAnsi="仿宋" w:eastAsia="仿宋" w:cs="仿宋"/>
          <w:sz w:val="32"/>
          <w:szCs w:val="32"/>
        </w:rPr>
        <w:t>、加强项目资金的监管。加强项目实施进度跟踪监管，定期调度，掌握项目进展情况，及时发现并积极解决存在的问题，加快项目实施进度，严格项目实施质量，不断提高资金的使用效益。</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napToGrid w:val="0"/>
        <w:spacing w:line="360" w:lineRule="auto"/>
        <w:ind w:firstLine="640" w:firstLineChars="200"/>
        <w:rPr>
          <w:rFonts w:ascii="仿宋" w:hAnsi="仿宋" w:eastAsia="仿宋" w:cs="仿宋"/>
          <w:sz w:val="32"/>
          <w:szCs w:val="32"/>
        </w:rPr>
      </w:pPr>
      <w:r>
        <w:rPr>
          <w:rFonts w:ascii="仿宋" w:hAnsi="仿宋" w:eastAsia="仿宋" w:cs="仿宋"/>
          <w:sz w:val="32"/>
          <w:szCs w:val="32"/>
        </w:rPr>
        <w:t>3</w:t>
      </w:r>
      <w:r>
        <w:rPr>
          <w:rFonts w:hint="eastAsia" w:ascii="仿宋" w:hAnsi="仿宋" w:eastAsia="仿宋" w:cs="仿宋"/>
          <w:sz w:val="32"/>
          <w:szCs w:val="32"/>
        </w:rPr>
        <w:t>、规范资金使用，严格项目验收。严格落实各项要求，对属于政府采购范围的项目，按照财政部门要求编制政府采购计划，实行政府采购，确保专款专用。严格按照相关的验收管理办法，项目验收合格后方可办理资金拨付手续，确保财政资金安全及使用效益。</w:t>
      </w:r>
    </w:p>
    <w:p>
      <w:pPr>
        <w:pStyle w:val="3"/>
        <w:spacing w:line="360" w:lineRule="auto"/>
        <w:rPr>
          <w:rFonts w:ascii="仿宋" w:hAnsi="仿宋" w:eastAsia="仿宋" w:cs="仿宋"/>
        </w:rPr>
      </w:pPr>
      <w:bookmarkStart w:id="16" w:name="_Toc20563"/>
      <w:bookmarkStart w:id="17" w:name="_Toc28654"/>
      <w:r>
        <w:rPr>
          <w:rFonts w:hint="eastAsia" w:ascii="仿宋" w:hAnsi="仿宋" w:eastAsia="仿宋" w:cs="仿宋"/>
        </w:rPr>
        <w:t>（二）项目管理情况分析</w:t>
      </w:r>
      <w:bookmarkEnd w:id="16"/>
      <w:bookmarkEnd w:id="17"/>
    </w:p>
    <w:p>
      <w:pPr>
        <w:adjustRightInd w:val="0"/>
        <w:snapToGrid w:val="0"/>
        <w:spacing w:line="360" w:lineRule="auto"/>
        <w:ind w:firstLine="642" w:firstLineChars="200"/>
      </w:pPr>
      <w:r>
        <w:rPr>
          <w:rFonts w:hint="eastAsia" w:ascii="楷体_GB2312" w:hAnsi="楷体_GB2312" w:eastAsia="楷体_GB2312" w:cs="楷体_GB2312"/>
          <w:b/>
          <w:bCs/>
          <w:sz w:val="32"/>
          <w:szCs w:val="32"/>
        </w:rPr>
        <w:t>1、抓主题教育，强政治引领。</w:t>
      </w:r>
      <w:r>
        <w:rPr>
          <w:rFonts w:ascii="仿宋_GB2312" w:hAnsi="宋体" w:eastAsia="仿宋_GB2312"/>
          <w:b/>
          <w:bCs/>
          <w:color w:val="000000"/>
          <w:sz w:val="32"/>
          <w:szCs w:val="32"/>
        </w:rPr>
        <w:t>“不忘初心、牢记使命”主题教育取得实效。</w:t>
      </w:r>
      <w:r>
        <w:rPr>
          <w:rFonts w:eastAsia="仿宋_GB2312"/>
          <w:sz w:val="32"/>
          <w:szCs w:val="32"/>
        </w:rPr>
        <w:t>牢牢把握“守初心、担使命，找差距、抓落实”的总要求，成立主题教育领导小组，制定实施方案，坚持把机关主题教育与商协会同研究、同部署、同推进，坚持问题导向，逐条制定整改措施，明确责任领导，狠抓落实，力求实效</w:t>
      </w:r>
      <w:r>
        <w:rPr>
          <w:rFonts w:hint="eastAsia" w:eastAsia="仿宋_GB2312"/>
          <w:sz w:val="32"/>
          <w:szCs w:val="32"/>
        </w:rPr>
        <w:t>。</w:t>
      </w:r>
      <w:r>
        <w:rPr>
          <w:rFonts w:eastAsia="仿宋_GB2312"/>
          <w:sz w:val="32"/>
          <w:szCs w:val="32"/>
        </w:rPr>
        <w:t>发</w:t>
      </w:r>
      <w:r>
        <w:rPr>
          <w:rFonts w:ascii="仿宋_GB2312" w:hAnsi="宋体" w:eastAsia="仿宋_GB2312"/>
          <w:color w:val="000000"/>
          <w:sz w:val="32"/>
          <w:szCs w:val="32"/>
        </w:rPr>
        <w:t>挥机关党组织</w:t>
      </w:r>
      <w:r>
        <w:rPr>
          <w:rFonts w:eastAsia="仿宋_GB2312"/>
          <w:sz w:val="32"/>
          <w:szCs w:val="32"/>
        </w:rPr>
        <w:t>作用，检查督导</w:t>
      </w:r>
      <w:r>
        <w:rPr>
          <w:rFonts w:hint="eastAsia" w:eastAsia="仿宋_GB2312"/>
          <w:sz w:val="32"/>
          <w:szCs w:val="32"/>
        </w:rPr>
        <w:t>全市</w:t>
      </w:r>
      <w:r>
        <w:rPr>
          <w:rFonts w:eastAsia="仿宋_GB2312"/>
          <w:sz w:val="32"/>
          <w:szCs w:val="32"/>
        </w:rPr>
        <w:t>商协会党组织主题教育开展</w:t>
      </w:r>
      <w:r>
        <w:rPr>
          <w:rFonts w:hint="eastAsia" w:eastAsia="仿宋_GB2312"/>
          <w:sz w:val="32"/>
          <w:szCs w:val="32"/>
        </w:rPr>
        <w:t>。</w:t>
      </w:r>
      <w:r>
        <w:rPr>
          <w:rFonts w:eastAsia="仿宋_GB2312"/>
          <w:sz w:val="32"/>
          <w:szCs w:val="32"/>
        </w:rPr>
        <w:t>市委常委、组织部长张宏益调研指导</w:t>
      </w:r>
      <w:r>
        <w:rPr>
          <w:rFonts w:ascii="仿宋_GB2312" w:hAnsi="宋体" w:eastAsia="仿宋_GB2312"/>
          <w:color w:val="000000"/>
          <w:sz w:val="32"/>
          <w:szCs w:val="32"/>
        </w:rPr>
        <w:t>时给予充分肯定，表扬商协会组织党建阵地建设规范，党建工作扎实，主题教育工作有特色、有亮点。</w:t>
      </w:r>
      <w:r>
        <w:rPr>
          <w:rFonts w:hint="eastAsia" w:ascii="仿宋_GB2312" w:hAnsi="宋体" w:eastAsia="仿宋_GB2312"/>
          <w:b/>
          <w:bCs/>
          <w:color w:val="000000"/>
          <w:sz w:val="32"/>
          <w:szCs w:val="32"/>
        </w:rPr>
        <w:t>深化理想信念教育</w:t>
      </w:r>
      <w:r>
        <w:rPr>
          <w:rFonts w:ascii="仿宋_GB2312" w:hAnsi="宋体" w:eastAsia="仿宋_GB2312"/>
          <w:b/>
          <w:bCs/>
          <w:color w:val="000000"/>
          <w:sz w:val="32"/>
          <w:szCs w:val="32"/>
        </w:rPr>
        <w:t>。</w:t>
      </w:r>
      <w:r>
        <w:rPr>
          <w:rFonts w:ascii="仿宋_GB2312" w:hAnsi="宋体" w:eastAsia="仿宋_GB2312"/>
          <w:color w:val="000000"/>
          <w:sz w:val="32"/>
          <w:szCs w:val="32"/>
        </w:rPr>
        <w:t>组织北京大学“年轻一代企业家高级研修班”并举办“对话百年历史，再谱青春之歌”主题班会。举办“青商永向党，建功新时代”主题演讲赛，参赛企业家逾300人。开展“最美建设者”主题宣传活动,集中媒体资源对52名民营企业家进行采访报道。举行省会民营企业家庆祝中华人民共和国成立70周年座谈会，9位企业家分享创新创业体会、爱党爱国情怀。工商联网站和微信公众号采发新闻稿件700多篇，进一步增强民企高质量发展的思想自觉和行动自觉。全年举办4期“解放思想、创业富民”大讲堂，邀请国家外经贸部原副部长、著名经济学家龙永图等专家学者主讲，参会企业家达2000多人。主办二期经理学院培训班，组织220位企业家及高管参加，集中宣传解读各类政策，引导企业家正确看待形势，坚定发展信心</w:t>
      </w:r>
      <w:r>
        <w:rPr>
          <w:rFonts w:hint="eastAsia" w:ascii="仿宋_GB2312" w:hAnsi="宋体" w:eastAsia="仿宋_GB2312"/>
          <w:color w:val="000000"/>
          <w:sz w:val="32"/>
          <w:szCs w:val="32"/>
        </w:rPr>
        <w:t>。</w:t>
      </w:r>
      <w:r>
        <w:rPr>
          <w:rFonts w:hint="eastAsia" w:ascii="仿宋_GB2312" w:hAnsi="宋体" w:eastAsia="仿宋_GB2312"/>
          <w:b/>
          <w:bCs/>
          <w:color w:val="000000"/>
          <w:sz w:val="32"/>
          <w:szCs w:val="32"/>
        </w:rPr>
        <w:t>创新推进</w:t>
      </w:r>
      <w:r>
        <w:rPr>
          <w:rFonts w:ascii="仿宋_GB2312" w:hAnsi="宋体" w:eastAsia="仿宋_GB2312"/>
          <w:b/>
          <w:bCs/>
          <w:color w:val="000000"/>
          <w:sz w:val="32"/>
          <w:szCs w:val="32"/>
        </w:rPr>
        <w:t>非公党建。</w:t>
      </w:r>
      <w:r>
        <w:rPr>
          <w:rFonts w:ascii="仿宋_GB2312" w:hAnsi="宋体" w:eastAsia="仿宋_GB2312"/>
          <w:color w:val="000000"/>
          <w:sz w:val="32"/>
          <w:szCs w:val="32"/>
        </w:rPr>
        <w:t>创新成立商协会联合党校，创办“党性修养提升班”，对18大以后新发展的党员和党组织书记开展集中培训；召开党组织书记述职考评会，提升书记履职能力；举办入党积极分子培训班，培训入党积极分子101名；举办长沙市商协会组织联合党委庆“七一”表彰大会，表彰一批优秀基层党组织、党务工作者及优秀共产党员。指导成立9个商协会党支部，全年新发展党员44名，目前</w:t>
      </w:r>
      <w:r>
        <w:rPr>
          <w:rFonts w:hint="eastAsia" w:ascii="仿宋_GB2312" w:hAnsi="宋体" w:eastAsia="仿宋_GB2312"/>
          <w:color w:val="000000"/>
          <w:sz w:val="32"/>
          <w:szCs w:val="32"/>
        </w:rPr>
        <w:t>直管党员</w:t>
      </w:r>
      <w:r>
        <w:rPr>
          <w:rFonts w:ascii="仿宋_GB2312" w:hAnsi="宋体" w:eastAsia="仿宋_GB2312"/>
          <w:color w:val="000000"/>
          <w:sz w:val="32"/>
          <w:szCs w:val="32"/>
        </w:rPr>
        <w:t>数量达到</w:t>
      </w:r>
      <w:r>
        <w:rPr>
          <w:rFonts w:hint="eastAsia" w:ascii="仿宋_GB2312" w:hAnsi="宋体" w:eastAsia="仿宋_GB2312"/>
          <w:color w:val="000000"/>
          <w:sz w:val="32"/>
          <w:szCs w:val="32"/>
        </w:rPr>
        <w:t>536人</w:t>
      </w:r>
      <w:r>
        <w:rPr>
          <w:rFonts w:ascii="仿宋_GB2312" w:hAnsi="宋体" w:eastAsia="仿宋_GB2312"/>
          <w:color w:val="000000"/>
          <w:sz w:val="32"/>
          <w:szCs w:val="32"/>
        </w:rPr>
        <w:t>，共有商协会党组织47个，实现党建工作“两个覆盖”。</w:t>
      </w:r>
    </w:p>
    <w:p>
      <w:pPr>
        <w:adjustRightInd w:val="0"/>
        <w:snapToGrid w:val="0"/>
        <w:spacing w:line="360" w:lineRule="auto"/>
        <w:ind w:firstLine="642" w:firstLineChars="200"/>
      </w:pPr>
      <w:r>
        <w:rPr>
          <w:rFonts w:hint="eastAsia" w:ascii="楷体_GB2312" w:hAnsi="楷体_GB2312" w:eastAsia="楷体_GB2312" w:cs="楷体_GB2312"/>
          <w:b/>
          <w:bCs/>
          <w:sz w:val="32"/>
          <w:szCs w:val="32"/>
        </w:rPr>
        <w:t>2、抓营商环境，强使命担当。</w:t>
      </w:r>
      <w:r>
        <w:rPr>
          <w:rFonts w:ascii="仿宋" w:hAnsi="仿宋" w:eastAsia="仿宋"/>
          <w:b/>
          <w:bCs/>
          <w:sz w:val="32"/>
          <w:szCs w:val="32"/>
        </w:rPr>
        <w:t>着力服务“</w:t>
      </w:r>
      <w:r>
        <w:rPr>
          <w:rFonts w:hint="eastAsia" w:ascii="仿宋" w:hAnsi="仿宋" w:eastAsia="仿宋" w:cs="仿宋"/>
          <w:b/>
          <w:bCs/>
          <w:sz w:val="32"/>
          <w:szCs w:val="32"/>
        </w:rPr>
        <w:t>营商环境优化年</w:t>
      </w:r>
      <w:r>
        <w:rPr>
          <w:rFonts w:ascii="仿宋" w:hAnsi="仿宋" w:eastAsia="仿宋"/>
          <w:b/>
          <w:bCs/>
          <w:sz w:val="32"/>
          <w:szCs w:val="32"/>
        </w:rPr>
        <w:t>”工作。</w:t>
      </w:r>
      <w:r>
        <w:rPr>
          <w:rFonts w:ascii="仿宋" w:hAnsi="仿宋" w:eastAsia="仿宋"/>
          <w:sz w:val="32"/>
          <w:szCs w:val="32"/>
        </w:rPr>
        <w:t>召开</w:t>
      </w:r>
      <w:r>
        <w:rPr>
          <w:rFonts w:hint="eastAsia" w:ascii="仿宋" w:hAnsi="仿宋" w:eastAsia="仿宋" w:cs="仿宋"/>
          <w:sz w:val="32"/>
          <w:szCs w:val="32"/>
        </w:rPr>
        <w:t>全市工商联系统学习贯彻全国两会</w:t>
      </w:r>
      <w:bookmarkStart w:id="28" w:name="_GoBack"/>
      <w:bookmarkEnd w:id="28"/>
      <w:r>
        <w:rPr>
          <w:rFonts w:hint="eastAsia" w:ascii="仿宋" w:hAnsi="仿宋" w:eastAsia="仿宋" w:cs="仿宋"/>
          <w:sz w:val="32"/>
          <w:szCs w:val="32"/>
        </w:rPr>
        <w:t>精神暨“营商环境优化年”工作</w:t>
      </w:r>
      <w:r>
        <w:rPr>
          <w:rFonts w:ascii="仿宋" w:hAnsi="仿宋" w:eastAsia="仿宋" w:cs="仿宋"/>
          <w:sz w:val="32"/>
          <w:szCs w:val="32"/>
        </w:rPr>
        <w:t>动员</w:t>
      </w:r>
      <w:r>
        <w:rPr>
          <w:rFonts w:hint="eastAsia" w:ascii="仿宋" w:hAnsi="仿宋" w:eastAsia="仿宋" w:cs="仿宋"/>
          <w:sz w:val="32"/>
          <w:szCs w:val="32"/>
        </w:rPr>
        <w:t>会</w:t>
      </w:r>
      <w:r>
        <w:rPr>
          <w:rFonts w:ascii="仿宋" w:hAnsi="仿宋" w:eastAsia="仿宋" w:cs="仿宋"/>
          <w:sz w:val="32"/>
          <w:szCs w:val="32"/>
        </w:rPr>
        <w:t>，服务“营商环境优化年”工作总结推进会，</w:t>
      </w:r>
      <w:r>
        <w:rPr>
          <w:rFonts w:ascii="仿宋" w:hAnsi="仿宋" w:eastAsia="仿宋"/>
          <w:sz w:val="32"/>
          <w:szCs w:val="32"/>
        </w:rPr>
        <w:t>组织动员商协会、民营企业家和各类市场主体投身</w:t>
      </w:r>
      <w:r>
        <w:rPr>
          <w:rFonts w:hint="eastAsia" w:ascii="仿宋" w:hAnsi="仿宋" w:eastAsia="仿宋" w:cs="仿宋"/>
          <w:sz w:val="32"/>
          <w:szCs w:val="32"/>
        </w:rPr>
        <w:t>“营商环境优化年”</w:t>
      </w:r>
      <w:r>
        <w:rPr>
          <w:rFonts w:ascii="仿宋" w:hAnsi="仿宋" w:eastAsia="仿宋" w:cs="仿宋"/>
          <w:sz w:val="32"/>
          <w:szCs w:val="32"/>
        </w:rPr>
        <w:t>活动，</w:t>
      </w:r>
      <w:r>
        <w:rPr>
          <w:rFonts w:ascii="仿宋" w:hAnsi="仿宋" w:eastAsia="仿宋"/>
          <w:sz w:val="32"/>
          <w:szCs w:val="32"/>
        </w:rPr>
        <w:t>制定实施方案，部署五大工作任务，落细落实18条具体举措。</w:t>
      </w:r>
      <w:r>
        <w:rPr>
          <w:rFonts w:ascii="仿宋_GB2312" w:hAnsi="宋体" w:eastAsia="仿宋_GB2312"/>
          <w:color w:val="000000"/>
          <w:sz w:val="32"/>
          <w:szCs w:val="32"/>
        </w:rPr>
        <w:t>推荐100位优秀非公经济人士担任长沙市营商环境特约监督员，拟定《长沙市营商环境特约监督员工作规则》。</w:t>
      </w:r>
      <w:r>
        <w:rPr>
          <w:rFonts w:hint="eastAsia" w:ascii="仿宋_GB2312" w:hAnsi="宋体" w:eastAsia="仿宋_GB2312"/>
          <w:b/>
          <w:bCs/>
          <w:color w:val="000000"/>
          <w:sz w:val="32"/>
          <w:szCs w:val="32"/>
        </w:rPr>
        <w:t>建</w:t>
      </w:r>
      <w:r>
        <w:rPr>
          <w:rFonts w:ascii="仿宋_GB2312" w:hAnsi="宋体" w:eastAsia="仿宋_GB2312"/>
          <w:b/>
          <w:bCs/>
          <w:color w:val="000000"/>
          <w:sz w:val="32"/>
          <w:szCs w:val="32"/>
        </w:rPr>
        <w:t>立</w:t>
      </w:r>
      <w:r>
        <w:rPr>
          <w:rFonts w:hint="eastAsia" w:ascii="仿宋_GB2312" w:hAnsi="宋体" w:eastAsia="仿宋_GB2312"/>
          <w:b/>
          <w:bCs/>
          <w:color w:val="000000"/>
          <w:sz w:val="32"/>
          <w:szCs w:val="32"/>
        </w:rPr>
        <w:t>常态化</w:t>
      </w:r>
      <w:r>
        <w:rPr>
          <w:rFonts w:ascii="仿宋_GB2312" w:hAnsi="宋体" w:eastAsia="仿宋_GB2312"/>
          <w:b/>
          <w:bCs/>
          <w:color w:val="000000"/>
          <w:sz w:val="32"/>
          <w:szCs w:val="32"/>
        </w:rPr>
        <w:t>政企沟通</w:t>
      </w:r>
      <w:r>
        <w:rPr>
          <w:rFonts w:hint="eastAsia" w:ascii="仿宋_GB2312" w:hAnsi="宋体" w:eastAsia="仿宋_GB2312"/>
          <w:b/>
          <w:bCs/>
          <w:color w:val="000000"/>
          <w:sz w:val="32"/>
          <w:szCs w:val="32"/>
        </w:rPr>
        <w:t>机制</w:t>
      </w:r>
      <w:r>
        <w:rPr>
          <w:rFonts w:ascii="仿宋_GB2312" w:hAnsi="宋体" w:eastAsia="仿宋_GB2312"/>
          <w:b/>
          <w:bCs/>
          <w:color w:val="000000"/>
          <w:sz w:val="32"/>
          <w:szCs w:val="32"/>
        </w:rPr>
        <w:t>。</w:t>
      </w:r>
      <w:r>
        <w:rPr>
          <w:rFonts w:ascii="仿宋_GB2312" w:hAnsi="宋体" w:eastAsia="仿宋_GB2312"/>
          <w:color w:val="000000"/>
          <w:sz w:val="32"/>
          <w:szCs w:val="32"/>
        </w:rPr>
        <w:t>会同市委统战部共同研究制定《长沙市政企常态化沟通制度》；协同市发改委出台《长沙市涉企政策听取企业家意见实施办法》。协助市委召开长沙市民营企业家座谈会，省委常委、市委书记胡衡华出席并讲话；召开“大力推动制造业高质量发展”民营企业座谈会，收集整理企业家意见建议90条交相关部门办理。邀请发改、住建、规划、人社、科技、市场监管、环保、公安、检察等15个部门与民营企业面对面，推动解决企业问题535个。</w:t>
      </w:r>
      <w:r>
        <w:rPr>
          <w:rFonts w:ascii="仿宋_GB2312" w:hAnsi="宋体" w:eastAsia="仿宋_GB2312"/>
          <w:b/>
          <w:bCs/>
          <w:color w:val="000000"/>
          <w:sz w:val="32"/>
          <w:szCs w:val="32"/>
        </w:rPr>
        <w:t>推进长沙</w:t>
      </w:r>
      <w:r>
        <w:rPr>
          <w:rFonts w:hint="eastAsia" w:ascii="仿宋_GB2312" w:hAnsi="宋体" w:eastAsia="仿宋_GB2312"/>
          <w:b/>
          <w:bCs/>
          <w:color w:val="000000"/>
          <w:sz w:val="32"/>
          <w:szCs w:val="32"/>
        </w:rPr>
        <w:t>民营经济改革创新发展示范区</w:t>
      </w:r>
      <w:r>
        <w:rPr>
          <w:rFonts w:ascii="仿宋_GB2312" w:hAnsi="宋体" w:eastAsia="仿宋_GB2312"/>
          <w:b/>
          <w:bCs/>
          <w:color w:val="000000"/>
          <w:sz w:val="32"/>
          <w:szCs w:val="32"/>
        </w:rPr>
        <w:t>申报工作。</w:t>
      </w:r>
      <w:r>
        <w:rPr>
          <w:rFonts w:hint="eastAsia" w:ascii="仿宋_GB2312" w:hAnsi="宋体" w:eastAsia="仿宋_GB2312"/>
          <w:color w:val="000000"/>
          <w:sz w:val="32"/>
          <w:szCs w:val="32"/>
        </w:rPr>
        <w:t>赴国家发改委专题汇报，</w:t>
      </w:r>
      <w:r>
        <w:rPr>
          <w:rFonts w:ascii="仿宋_GB2312" w:hAnsi="宋体" w:eastAsia="仿宋_GB2312"/>
          <w:color w:val="000000"/>
          <w:sz w:val="32"/>
          <w:szCs w:val="32"/>
        </w:rPr>
        <w:t>按要求进一步完善</w:t>
      </w:r>
      <w:r>
        <w:rPr>
          <w:rFonts w:hint="eastAsia" w:ascii="仿宋_GB2312" w:hAnsi="宋体" w:eastAsia="仿宋_GB2312"/>
          <w:color w:val="000000"/>
          <w:sz w:val="32"/>
          <w:szCs w:val="32"/>
        </w:rPr>
        <w:t>创建总体方案</w:t>
      </w:r>
      <w:r>
        <w:rPr>
          <w:rFonts w:ascii="仿宋_GB2312" w:hAnsi="宋体" w:eastAsia="仿宋_GB2312"/>
          <w:color w:val="000000"/>
          <w:sz w:val="32"/>
          <w:szCs w:val="32"/>
        </w:rPr>
        <w:t>，请求省政府</w:t>
      </w:r>
      <w:r>
        <w:rPr>
          <w:rFonts w:hint="eastAsia" w:ascii="仿宋_GB2312" w:hAnsi="宋体" w:eastAsia="仿宋_GB2312"/>
          <w:color w:val="000000"/>
          <w:sz w:val="32"/>
          <w:szCs w:val="32"/>
        </w:rPr>
        <w:t>以《湖南省人民政府关于商请支持设立长沙市民营经济改革创新发展示范区的函》（湘政函【2019】48号）</w:t>
      </w:r>
      <w:r>
        <w:rPr>
          <w:rFonts w:ascii="仿宋_GB2312" w:hAnsi="宋体" w:eastAsia="仿宋_GB2312"/>
          <w:color w:val="000000"/>
          <w:sz w:val="32"/>
          <w:szCs w:val="32"/>
        </w:rPr>
        <w:t>形式争取</w:t>
      </w:r>
      <w:r>
        <w:rPr>
          <w:rFonts w:hint="eastAsia" w:ascii="仿宋_GB2312" w:hAnsi="宋体" w:eastAsia="仿宋_GB2312"/>
          <w:color w:val="000000"/>
          <w:sz w:val="32"/>
          <w:szCs w:val="32"/>
        </w:rPr>
        <w:t>国家发改委</w:t>
      </w:r>
      <w:r>
        <w:rPr>
          <w:rFonts w:ascii="仿宋_GB2312" w:hAnsi="宋体" w:eastAsia="仿宋_GB2312"/>
          <w:color w:val="000000"/>
          <w:sz w:val="32"/>
          <w:szCs w:val="32"/>
        </w:rPr>
        <w:t>支持。</w:t>
      </w:r>
      <w:r>
        <w:rPr>
          <w:rFonts w:hint="eastAsia" w:ascii="仿宋_GB2312" w:hAnsi="宋体" w:eastAsia="仿宋_GB2312"/>
          <w:color w:val="000000"/>
          <w:sz w:val="32"/>
          <w:szCs w:val="32"/>
        </w:rPr>
        <w:t>长沙市</w:t>
      </w:r>
      <w:r>
        <w:rPr>
          <w:rFonts w:ascii="仿宋_GB2312" w:hAnsi="宋体" w:eastAsia="仿宋_GB2312"/>
          <w:color w:val="000000"/>
          <w:sz w:val="32"/>
          <w:szCs w:val="32"/>
        </w:rPr>
        <w:t>成为中共中央、国务院出台《关于营造更好发展环境支持民营企业改革发展意见》以来，全国第一个向国家发改委申报设立</w:t>
      </w:r>
      <w:r>
        <w:rPr>
          <w:rFonts w:hint="eastAsia" w:ascii="仿宋_GB2312" w:hAnsi="宋体" w:eastAsia="仿宋_GB2312"/>
          <w:color w:val="000000"/>
          <w:sz w:val="32"/>
          <w:szCs w:val="32"/>
        </w:rPr>
        <w:t>民营经济改革创新发展示范区</w:t>
      </w:r>
      <w:r>
        <w:rPr>
          <w:rFonts w:ascii="仿宋_GB2312" w:hAnsi="宋体" w:eastAsia="仿宋_GB2312"/>
          <w:color w:val="000000"/>
          <w:sz w:val="32"/>
          <w:szCs w:val="32"/>
        </w:rPr>
        <w:t>的城市。</w:t>
      </w:r>
      <w:r>
        <w:rPr>
          <w:rFonts w:ascii="仿宋_GB2312" w:hAnsi="宋体" w:eastAsia="仿宋_GB2312"/>
          <w:b/>
          <w:bCs/>
          <w:color w:val="000000"/>
          <w:sz w:val="32"/>
          <w:szCs w:val="32"/>
        </w:rPr>
        <w:t>组织做好全国工商联部署的万家民营企业评营商环境工作</w:t>
      </w:r>
      <w:r>
        <w:rPr>
          <w:rFonts w:hint="eastAsia" w:ascii="仿宋_GB2312" w:hAnsi="宋体" w:eastAsia="仿宋_GB2312"/>
          <w:b/>
          <w:bCs/>
          <w:color w:val="000000"/>
          <w:sz w:val="32"/>
          <w:szCs w:val="32"/>
        </w:rPr>
        <w:t>。</w:t>
      </w:r>
      <w:r>
        <w:rPr>
          <w:rFonts w:ascii="仿宋_GB2312" w:hAnsi="宋体" w:eastAsia="仿宋_GB2312"/>
          <w:color w:val="000000"/>
          <w:sz w:val="32"/>
          <w:szCs w:val="32"/>
        </w:rPr>
        <w:t>在全国工商联发布的万家民营企业评营商环境报告中，长沙取得在全国400多个城市中位列第十位的好成绩，进一步提升了长沙营商环境优化的全国影响力。</w:t>
      </w:r>
    </w:p>
    <w:p>
      <w:pPr>
        <w:adjustRightInd w:val="0"/>
        <w:snapToGrid w:val="0"/>
        <w:spacing w:line="360" w:lineRule="auto"/>
        <w:ind w:firstLine="642" w:firstLineChars="200"/>
      </w:pPr>
      <w:r>
        <w:rPr>
          <w:rFonts w:hint="eastAsia" w:ascii="楷体_GB2312" w:hAnsi="楷体_GB2312" w:eastAsia="楷体_GB2312" w:cs="楷体_GB2312"/>
          <w:b/>
          <w:bCs/>
          <w:sz w:val="32"/>
          <w:szCs w:val="32"/>
        </w:rPr>
        <w:t>3、抓精准服务、强企业获得</w:t>
      </w:r>
      <w:r>
        <w:rPr>
          <w:rFonts w:ascii="楷体_GB2312" w:hAnsi="楷体_GB2312" w:eastAsia="楷体_GB2312" w:cs="楷体_GB2312"/>
          <w:b/>
          <w:bCs/>
          <w:sz w:val="32"/>
          <w:szCs w:val="32"/>
        </w:rPr>
        <w:t>。</w:t>
      </w:r>
      <w:r>
        <w:rPr>
          <w:rFonts w:ascii="仿宋_GB2312" w:hAnsi="宋体" w:eastAsia="仿宋_GB2312"/>
          <w:b/>
          <w:bCs/>
          <w:color w:val="000000"/>
          <w:sz w:val="32"/>
          <w:szCs w:val="32"/>
        </w:rPr>
        <w:t>精准科技服务。</w:t>
      </w:r>
      <w:r>
        <w:rPr>
          <w:rFonts w:eastAsia="仿宋"/>
          <w:sz w:val="32"/>
        </w:rPr>
        <w:t>成立科技创新服务中心，开展协同创新服务系列活动；主办2019产业互联网创新大会，围绕企业的数字化实践，邀请业界大咖与近千位企业家，全面探讨产业借力互联网新技术、新模式、新业态实现融合创新。举办</w:t>
      </w:r>
      <w:r>
        <w:rPr>
          <w:rFonts w:ascii="仿宋_GB2312" w:hAnsi="宋体" w:eastAsia="仿宋_GB2312"/>
          <w:color w:val="000000"/>
          <w:sz w:val="32"/>
          <w:szCs w:val="32"/>
        </w:rPr>
        <w:t>“洞见5G，布局未来”智能制造产业融合峰会，促进民营企业高质量发展。</w:t>
      </w:r>
      <w:r>
        <w:rPr>
          <w:rFonts w:hint="eastAsia" w:eastAsia="仿宋"/>
          <w:sz w:val="32"/>
        </w:rPr>
        <w:t>举办“商业模式设计”训练营，邀请著名经济学家、清华大学经济学研究所研究员李江涛讲授商业模式的设计方法和设计流程，拓展企业管理创新思路。</w:t>
      </w:r>
      <w:r>
        <w:rPr>
          <w:rFonts w:eastAsia="仿宋"/>
          <w:b/>
          <w:bCs/>
          <w:sz w:val="32"/>
        </w:rPr>
        <w:t>精准金融服务。</w:t>
      </w:r>
      <w:r>
        <w:rPr>
          <w:rFonts w:eastAsia="仿宋"/>
          <w:sz w:val="32"/>
        </w:rPr>
        <w:t>举办“金融服务进商会进企业”系列活动，举办长沙市洞口商会、岳阳商会等专场活动，联合举办</w:t>
      </w:r>
      <w:r>
        <w:rPr>
          <w:rFonts w:ascii="仿宋_GB2312" w:hAnsi="宋体" w:eastAsia="仿宋_GB2312"/>
          <w:color w:val="000000"/>
          <w:sz w:val="32"/>
          <w:szCs w:val="32"/>
        </w:rPr>
        <w:t>2019第八届长沙金融服务节开幕式暨金融服务“两个年”活动，为金融机构与商会、企业搭建合作交流平台，全年累计服务371家中小微企业融资5.813亿元。发挥转贷基金、风险补偿基金的作用，为102家企业提供贷款2.75</w:t>
      </w:r>
      <w:r>
        <w:rPr>
          <w:rFonts w:eastAsia="仿宋"/>
          <w:sz w:val="32"/>
        </w:rPr>
        <w:t>亿元。</w:t>
      </w:r>
      <w:r>
        <w:rPr>
          <w:rFonts w:ascii="仿宋_GB2312" w:hAnsi="宋体" w:eastAsia="仿宋_GB2312"/>
          <w:b/>
          <w:bCs/>
          <w:color w:val="000000"/>
          <w:sz w:val="32"/>
          <w:szCs w:val="32"/>
        </w:rPr>
        <w:t>精准指导企业绿色发展。</w:t>
      </w:r>
      <w:r>
        <w:rPr>
          <w:rFonts w:hint="eastAsia" w:ascii="仿宋_GB2312" w:hAnsi="宋体" w:eastAsia="仿宋_GB2312"/>
          <w:color w:val="000000"/>
          <w:sz w:val="32"/>
          <w:szCs w:val="32"/>
        </w:rPr>
        <w:t>与市生态环境局建立局际合作机制，指导成立长沙市生态环境保护行业协会，组织企业参与2019湖南“一带一路”绿色博览会暨绿色产业发展论坛，开展“六五环境日”、“绿色发展，节能先行，保卫蓝天”等环境保护知识宣传活动，引导民营企业走绿色发展道路。</w:t>
      </w:r>
    </w:p>
    <w:p>
      <w:pPr>
        <w:adjustRightInd w:val="0"/>
        <w:snapToGrid w:val="0"/>
        <w:spacing w:line="360" w:lineRule="auto"/>
        <w:ind w:firstLine="642" w:firstLineChars="200"/>
        <w:rPr>
          <w:rFonts w:ascii="仿宋_GB2312" w:hAnsi="宋体" w:eastAsia="仿宋_GB2312"/>
          <w:color w:val="000000"/>
          <w:sz w:val="32"/>
          <w:szCs w:val="32"/>
        </w:rPr>
      </w:pPr>
      <w:r>
        <w:rPr>
          <w:rFonts w:hint="eastAsia" w:ascii="楷体_GB2312" w:hAnsi="楷体_GB2312" w:eastAsia="楷体_GB2312" w:cs="楷体_GB2312"/>
          <w:b/>
          <w:bCs/>
          <w:sz w:val="32"/>
          <w:szCs w:val="32"/>
        </w:rPr>
        <w:t>4、抓</w:t>
      </w:r>
      <w:r>
        <w:rPr>
          <w:rFonts w:ascii="楷体_GB2312" w:hAnsi="楷体_GB2312" w:eastAsia="楷体_GB2312" w:cs="楷体_GB2312"/>
          <w:b/>
          <w:bCs/>
          <w:sz w:val="32"/>
          <w:szCs w:val="32"/>
        </w:rPr>
        <w:t>项目建设</w:t>
      </w:r>
      <w:r>
        <w:rPr>
          <w:rFonts w:hint="eastAsia" w:ascii="楷体_GB2312" w:hAnsi="楷体_GB2312" w:eastAsia="楷体_GB2312" w:cs="楷体_GB2312"/>
          <w:b/>
          <w:bCs/>
          <w:sz w:val="32"/>
          <w:szCs w:val="32"/>
        </w:rPr>
        <w:t>，强发展突破。</w:t>
      </w:r>
      <w:r>
        <w:rPr>
          <w:rFonts w:ascii="仿宋_GB2312" w:hAnsi="宋体" w:eastAsia="仿宋_GB2312"/>
          <w:b/>
          <w:bCs/>
          <w:color w:val="000000"/>
          <w:sz w:val="32"/>
          <w:szCs w:val="32"/>
        </w:rPr>
        <w:t>着力</w:t>
      </w:r>
      <w:r>
        <w:rPr>
          <w:rFonts w:hint="eastAsia" w:ascii="仿宋_GB2312" w:hAnsi="宋体" w:eastAsia="仿宋_GB2312"/>
          <w:b/>
          <w:bCs/>
          <w:color w:val="000000"/>
          <w:sz w:val="32"/>
          <w:szCs w:val="32"/>
        </w:rPr>
        <w:t>开展“长沙市百家商会千户企业招商行动”。</w:t>
      </w:r>
      <w:r>
        <w:rPr>
          <w:rFonts w:ascii="仿宋_GB2312" w:hAnsi="宋体" w:eastAsia="仿宋_GB2312"/>
          <w:color w:val="000000"/>
          <w:sz w:val="32"/>
          <w:szCs w:val="32"/>
        </w:rPr>
        <w:t>动员全市工商联系统积极参与，</w:t>
      </w:r>
      <w:r>
        <w:rPr>
          <w:rFonts w:hint="eastAsia" w:ascii="仿宋_GB2312" w:hAnsi="宋体" w:eastAsia="仿宋_GB2312"/>
          <w:color w:val="000000"/>
          <w:sz w:val="32"/>
          <w:szCs w:val="32"/>
        </w:rPr>
        <w:t>聘请38名招商大使,宣传推介我市</w:t>
      </w:r>
      <w:r>
        <w:rPr>
          <w:rFonts w:ascii="仿宋_GB2312" w:hAnsi="宋体" w:eastAsia="仿宋_GB2312"/>
          <w:color w:val="000000"/>
          <w:sz w:val="32"/>
          <w:szCs w:val="32"/>
        </w:rPr>
        <w:t>22条产业链和</w:t>
      </w:r>
      <w:r>
        <w:rPr>
          <w:rFonts w:hint="eastAsia" w:ascii="仿宋_GB2312" w:hAnsi="宋体" w:eastAsia="仿宋_GB2312"/>
          <w:color w:val="000000"/>
          <w:sz w:val="32"/>
          <w:szCs w:val="32"/>
        </w:rPr>
        <w:t>重点招商项目。举办天津市湖南长沙商会成立大会暨长沙临空经济示范区招商推介会，第三届全国长沙商会联席会议暨长沙招商推介会，</w:t>
      </w:r>
      <w:r>
        <w:rPr>
          <w:rFonts w:ascii="仿宋_GB2312" w:hAnsi="宋体" w:eastAsia="仿宋_GB2312"/>
          <w:color w:val="000000"/>
          <w:sz w:val="32"/>
          <w:szCs w:val="32"/>
        </w:rPr>
        <w:t>推介长沙产业布局及重点项目</w:t>
      </w:r>
      <w:r>
        <w:rPr>
          <w:rFonts w:hint="eastAsia" w:ascii="仿宋_GB2312" w:hAnsi="宋体" w:eastAsia="仿宋_GB2312"/>
          <w:color w:val="000000"/>
          <w:sz w:val="32"/>
          <w:szCs w:val="32"/>
        </w:rPr>
        <w:t>。</w:t>
      </w:r>
      <w:r>
        <w:rPr>
          <w:rFonts w:ascii="仿宋_GB2312" w:hAnsi="宋体" w:eastAsia="仿宋_GB2312"/>
          <w:b/>
          <w:bCs/>
          <w:color w:val="000000"/>
          <w:sz w:val="32"/>
          <w:szCs w:val="32"/>
        </w:rPr>
        <w:t>深入开展</w:t>
      </w:r>
      <w:r>
        <w:rPr>
          <w:rFonts w:hint="eastAsia" w:ascii="仿宋_GB2312" w:hAnsi="宋体" w:eastAsia="仿宋_GB2312"/>
          <w:b/>
          <w:bCs/>
          <w:color w:val="000000"/>
          <w:sz w:val="32"/>
          <w:szCs w:val="32"/>
        </w:rPr>
        <w:t>“迎老乡、回故乡、建家乡”</w:t>
      </w:r>
      <w:r>
        <w:rPr>
          <w:rFonts w:ascii="仿宋_GB2312" w:hAnsi="宋体" w:eastAsia="仿宋_GB2312"/>
          <w:b/>
          <w:bCs/>
          <w:color w:val="000000"/>
          <w:sz w:val="32"/>
          <w:szCs w:val="32"/>
        </w:rPr>
        <w:t>活动。</w:t>
      </w:r>
      <w:r>
        <w:rPr>
          <w:rFonts w:hint="eastAsia" w:ascii="仿宋_GB2312" w:hAnsi="宋体" w:eastAsia="仿宋_GB2312"/>
          <w:color w:val="000000"/>
          <w:sz w:val="32"/>
          <w:szCs w:val="32"/>
        </w:rPr>
        <w:t>举办“迎老乡、回故乡、建家乡”2019新春座谈会、全球异地湖南长沙商会座谈会，长沙香港经贸</w:t>
      </w:r>
      <w:r>
        <w:rPr>
          <w:rFonts w:ascii="仿宋_GB2312" w:hAnsi="宋体" w:eastAsia="仿宋_GB2312"/>
          <w:color w:val="000000"/>
          <w:sz w:val="32"/>
          <w:szCs w:val="32"/>
        </w:rPr>
        <w:t>合作</w:t>
      </w:r>
      <w:r>
        <w:rPr>
          <w:rFonts w:hint="eastAsia" w:ascii="仿宋_GB2312" w:hAnsi="宋体" w:eastAsia="仿宋_GB2312"/>
          <w:color w:val="000000"/>
          <w:sz w:val="32"/>
          <w:szCs w:val="32"/>
        </w:rPr>
        <w:t>交流会，加强与外地企业家的交流</w:t>
      </w:r>
      <w:r>
        <w:rPr>
          <w:rFonts w:ascii="仿宋_GB2312" w:hAnsi="宋体" w:eastAsia="仿宋_GB2312"/>
          <w:color w:val="000000"/>
          <w:sz w:val="32"/>
          <w:szCs w:val="32"/>
        </w:rPr>
        <w:t>对接</w:t>
      </w:r>
      <w:r>
        <w:rPr>
          <w:rFonts w:hint="eastAsia" w:ascii="仿宋_GB2312" w:hAnsi="宋体" w:eastAsia="仿宋_GB2312"/>
          <w:color w:val="000000"/>
          <w:sz w:val="32"/>
          <w:szCs w:val="32"/>
        </w:rPr>
        <w:t>。</w:t>
      </w:r>
      <w:r>
        <w:rPr>
          <w:rFonts w:ascii="仿宋_GB2312" w:hAnsi="宋体" w:eastAsia="仿宋_GB2312"/>
          <w:color w:val="000000"/>
          <w:sz w:val="32"/>
          <w:szCs w:val="32"/>
        </w:rPr>
        <w:t>全年共</w:t>
      </w:r>
      <w:r>
        <w:rPr>
          <w:rFonts w:hint="eastAsia" w:ascii="仿宋_GB2312" w:hAnsi="宋体" w:eastAsia="仿宋_GB2312"/>
          <w:color w:val="000000"/>
          <w:sz w:val="32"/>
          <w:szCs w:val="32"/>
        </w:rPr>
        <w:t>协助引进</w:t>
      </w:r>
      <w:r>
        <w:rPr>
          <w:rFonts w:ascii="仿宋_GB2312" w:hAnsi="宋体" w:eastAsia="仿宋_GB2312"/>
          <w:color w:val="000000"/>
          <w:sz w:val="32"/>
          <w:szCs w:val="32"/>
        </w:rPr>
        <w:t>落实</w:t>
      </w:r>
      <w:r>
        <w:rPr>
          <w:rFonts w:hint="eastAsia" w:ascii="仿宋_GB2312" w:hAnsi="宋体" w:eastAsia="仿宋_GB2312"/>
          <w:color w:val="000000"/>
          <w:sz w:val="32"/>
          <w:szCs w:val="32"/>
        </w:rPr>
        <w:t>项目5个，引资28.8亿元，收集招商信息25条，涉及新能源、环保科技项目等。</w:t>
      </w:r>
      <w:r>
        <w:rPr>
          <w:rFonts w:ascii="仿宋_GB2312" w:hAnsi="宋体" w:eastAsia="仿宋_GB2312"/>
          <w:b/>
          <w:bCs/>
          <w:color w:val="000000"/>
          <w:sz w:val="32"/>
          <w:szCs w:val="32"/>
        </w:rPr>
        <w:t>积极服务企业“走出去”。</w:t>
      </w:r>
      <w:r>
        <w:rPr>
          <w:rFonts w:hint="eastAsia" w:ascii="仿宋_GB2312" w:hAnsi="宋体" w:eastAsia="仿宋_GB2312"/>
          <w:color w:val="000000"/>
          <w:sz w:val="32"/>
          <w:szCs w:val="32"/>
        </w:rPr>
        <w:t>举办“一带一路”中国企业的机遇与前景——企业如何开展国际贸易的主题讲座。组织企业家参加2019中国（长沙）国际工程机械展览会、“鲁商入潇湘”经贸合作交流会、赣湘（上栗）经济合作交流会</w:t>
      </w:r>
      <w:r>
        <w:rPr>
          <w:rFonts w:ascii="仿宋_GB2312" w:hAnsi="宋体" w:eastAsia="仿宋_GB2312"/>
          <w:color w:val="000000"/>
          <w:sz w:val="32"/>
          <w:szCs w:val="32"/>
        </w:rPr>
        <w:t>、</w:t>
      </w:r>
      <w:r>
        <w:rPr>
          <w:rFonts w:hint="eastAsia" w:ascii="仿宋_GB2312" w:hAnsi="宋体" w:eastAsia="仿宋_GB2312"/>
          <w:color w:val="000000"/>
          <w:sz w:val="32"/>
          <w:szCs w:val="32"/>
        </w:rPr>
        <w:t>合肥长江中游城市群省会城市第七届会商会等</w:t>
      </w:r>
      <w:r>
        <w:rPr>
          <w:rFonts w:ascii="仿宋_GB2312" w:hAnsi="宋体" w:eastAsia="仿宋_GB2312"/>
          <w:color w:val="000000"/>
          <w:sz w:val="32"/>
          <w:szCs w:val="32"/>
        </w:rPr>
        <w:t>活动</w:t>
      </w:r>
      <w:r>
        <w:rPr>
          <w:rFonts w:hint="eastAsia" w:ascii="仿宋_GB2312" w:hAnsi="宋体" w:eastAsia="仿宋_GB2312"/>
          <w:color w:val="000000"/>
          <w:sz w:val="32"/>
          <w:szCs w:val="32"/>
        </w:rPr>
        <w:t>，为企业“走出去”</w:t>
      </w:r>
      <w:r>
        <w:rPr>
          <w:rFonts w:ascii="仿宋_GB2312" w:hAnsi="宋体" w:eastAsia="仿宋_GB2312"/>
          <w:color w:val="000000"/>
          <w:sz w:val="32"/>
          <w:szCs w:val="32"/>
        </w:rPr>
        <w:t>提供精准服务</w:t>
      </w:r>
      <w:r>
        <w:rPr>
          <w:rFonts w:hint="eastAsia" w:ascii="仿宋_GB2312" w:hAnsi="宋体" w:eastAsia="仿宋_GB2312"/>
          <w:color w:val="000000"/>
          <w:sz w:val="32"/>
          <w:szCs w:val="32"/>
        </w:rPr>
        <w:t>。在全国工商联召开</w:t>
      </w:r>
      <w:r>
        <w:rPr>
          <w:rFonts w:ascii="仿宋_GB2312" w:hAnsi="宋体" w:eastAsia="仿宋_GB2312"/>
          <w:color w:val="000000"/>
          <w:sz w:val="32"/>
          <w:szCs w:val="32"/>
        </w:rPr>
        <w:t>的</w:t>
      </w:r>
      <w:r>
        <w:rPr>
          <w:rFonts w:hint="eastAsia" w:ascii="仿宋_GB2312" w:hAnsi="宋体" w:eastAsia="仿宋_GB2312"/>
          <w:color w:val="000000"/>
          <w:sz w:val="32"/>
          <w:szCs w:val="32"/>
        </w:rPr>
        <w:t>引导服务民营企业参与“一带一路”建设推进会暨国际合作工作会议上，长沙市工商联作为5个市级工商联之一作经验推广。</w:t>
      </w:r>
    </w:p>
    <w:p>
      <w:pPr>
        <w:adjustRightInd w:val="0"/>
        <w:snapToGrid w:val="0"/>
        <w:spacing w:line="360" w:lineRule="auto"/>
        <w:ind w:firstLine="642"/>
        <w:rPr>
          <w:rFonts w:ascii="仿宋_GB2312" w:hAnsi="宋体" w:eastAsia="仿宋_GB2312"/>
          <w:color w:val="000000"/>
          <w:sz w:val="32"/>
          <w:szCs w:val="32"/>
        </w:rPr>
      </w:pPr>
      <w:r>
        <w:rPr>
          <w:rFonts w:hint="eastAsia" w:ascii="楷体_GB2312" w:hAnsi="楷体_GB2312" w:eastAsia="楷体_GB2312" w:cs="楷体_GB2312"/>
          <w:b/>
          <w:bCs/>
          <w:sz w:val="32"/>
          <w:szCs w:val="32"/>
        </w:rPr>
        <w:t>5、抓扶贫攻坚、强社会责任。</w:t>
      </w:r>
      <w:r>
        <w:rPr>
          <w:rFonts w:ascii="仿宋_GB2312" w:hAnsi="宋体" w:eastAsia="仿宋_GB2312"/>
          <w:b/>
          <w:bCs/>
          <w:color w:val="000000"/>
          <w:sz w:val="32"/>
          <w:szCs w:val="32"/>
        </w:rPr>
        <w:t>深入开展“万企帮万村”精准扶贫行动。</w:t>
      </w:r>
      <w:r>
        <w:rPr>
          <w:rFonts w:ascii="仿宋_GB2312" w:eastAsia="仿宋_GB2312"/>
          <w:sz w:val="32"/>
          <w:szCs w:val="32"/>
        </w:rPr>
        <w:t>组织542家企业帮扶586个贫困村，惠及贫困人口3万余人。多家企业获全国、全省表彰，湖南友谊阿波罗商业股份有限公司入选全国工商联《中国民营企业社会责任报告（2019）》优秀案例；湖南恒凯环保科技有限公司获评全国“万企帮万村”精准扶贫行动先进民营企业；长沙比亚迪、楚天科技、德旺农业获评全省“万企帮万村”先进民营企业。</w:t>
      </w:r>
      <w:r>
        <w:rPr>
          <w:rFonts w:ascii="仿宋_GB2312" w:eastAsia="仿宋_GB2312"/>
          <w:b/>
          <w:bCs/>
          <w:sz w:val="32"/>
          <w:szCs w:val="32"/>
        </w:rPr>
        <w:t>持续开展光彩行动。</w:t>
      </w:r>
      <w:r>
        <w:rPr>
          <w:rFonts w:ascii="仿宋_GB2312" w:eastAsia="仿宋_GB2312"/>
          <w:sz w:val="32"/>
          <w:szCs w:val="32"/>
        </w:rPr>
        <w:t>发挥湖南省长沙市光彩事业基金会作用，开展“省会企业家邵阳行”活动，设立扶贫车间，成立</w:t>
      </w:r>
      <w:r>
        <w:rPr>
          <w:rFonts w:hint="eastAsia" w:ascii="仿宋_GB2312" w:eastAsia="仿宋_GB2312"/>
          <w:sz w:val="32"/>
          <w:szCs w:val="32"/>
        </w:rPr>
        <w:t>邵阳</w:t>
      </w:r>
      <w:r>
        <w:rPr>
          <w:rFonts w:ascii="仿宋_GB2312" w:eastAsia="仿宋_GB2312"/>
          <w:sz w:val="32"/>
          <w:szCs w:val="32"/>
        </w:rPr>
        <w:t>保和基金（100万元），商协会、企业与保和村现场签订农产品销售等系列协议，活动得到省政协李微微主席的批示和高度赞扬。着力打造“同心书屋”工作品牌，捐建龙山县茨岩塘镇中心小学、常宁市特殊教育学校等地同心书屋图书6个，价值143.5万元图书。</w:t>
      </w:r>
      <w:r>
        <w:rPr>
          <w:rFonts w:hint="eastAsia" w:ascii="仿宋_GB2312" w:eastAsia="仿宋_GB2312"/>
          <w:sz w:val="32"/>
          <w:szCs w:val="32"/>
        </w:rPr>
        <w:t>联合开展“福苗计划”、“同心助学”活动，向259名寒门学习发放扶助资金130.7万元。基金会</w:t>
      </w:r>
      <w:r>
        <w:rPr>
          <w:rFonts w:ascii="仿宋_GB2312" w:eastAsia="仿宋_GB2312"/>
          <w:sz w:val="32"/>
          <w:szCs w:val="32"/>
        </w:rPr>
        <w:t>全年支出262.92万元，用于社会救助、扶贫帮困、教育助学、农村基本建设等社会公益事业。</w:t>
      </w:r>
      <w:r>
        <w:rPr>
          <w:rFonts w:ascii="仿宋_GB2312" w:eastAsia="仿宋_GB2312"/>
          <w:b/>
          <w:bCs/>
          <w:sz w:val="32"/>
          <w:szCs w:val="32"/>
        </w:rPr>
        <w:t>着力开展对口帮扶。</w:t>
      </w:r>
      <w:r>
        <w:rPr>
          <w:rFonts w:ascii="仿宋_GB2312" w:eastAsia="仿宋_GB2312"/>
          <w:sz w:val="32"/>
          <w:szCs w:val="32"/>
        </w:rPr>
        <w:t>赴雪域高原西藏贡嘎开展对口帮扶；帮扶龙山县茨岩塘镇种植260亩中药材，助推饮水、教育等基本建设项目建成。组织商会企业参加99公益日，扎实抓好浏阳市枫林湖村精准扶贫工作。</w:t>
      </w:r>
    </w:p>
    <w:p>
      <w:pPr>
        <w:pStyle w:val="2"/>
        <w:spacing w:line="360" w:lineRule="auto"/>
        <w:rPr>
          <w:rFonts w:ascii="仿宋" w:hAnsi="仿宋" w:eastAsia="仿宋" w:cs="仿宋"/>
        </w:rPr>
      </w:pPr>
      <w:bookmarkStart w:id="18" w:name="_Toc2012"/>
      <w:r>
        <w:rPr>
          <w:rFonts w:hint="eastAsia" w:ascii="仿宋" w:hAnsi="仿宋" w:eastAsia="仿宋" w:cs="仿宋"/>
        </w:rPr>
        <w:t>四、资产管理情况</w:t>
      </w:r>
      <w:bookmarkEnd w:id="18"/>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截至2019年</w:t>
      </w:r>
      <w:r>
        <w:rPr>
          <w:rFonts w:ascii="仿宋" w:hAnsi="仿宋" w:eastAsia="仿宋" w:cs="仿宋"/>
          <w:sz w:val="32"/>
          <w:szCs w:val="32"/>
        </w:rPr>
        <w:t>12</w:t>
      </w:r>
      <w:r>
        <w:rPr>
          <w:rFonts w:hint="eastAsia" w:ascii="仿宋" w:hAnsi="仿宋" w:eastAsia="仿宋" w:cs="仿宋"/>
          <w:sz w:val="32"/>
          <w:szCs w:val="32"/>
        </w:rPr>
        <w:t>月</w:t>
      </w:r>
      <w:r>
        <w:rPr>
          <w:rFonts w:ascii="仿宋" w:hAnsi="仿宋" w:eastAsia="仿宋" w:cs="仿宋"/>
          <w:sz w:val="32"/>
          <w:szCs w:val="32"/>
        </w:rPr>
        <w:t>31</w:t>
      </w:r>
      <w:r>
        <w:rPr>
          <w:rFonts w:hint="eastAsia" w:ascii="仿宋" w:hAnsi="仿宋" w:eastAsia="仿宋" w:cs="仿宋"/>
          <w:sz w:val="32"/>
          <w:szCs w:val="32"/>
        </w:rPr>
        <w:t>日，本单位共有车辆</w:t>
      </w:r>
      <w:r>
        <w:rPr>
          <w:rFonts w:ascii="仿宋" w:hAnsi="仿宋" w:eastAsia="仿宋" w:cs="仿宋"/>
          <w:sz w:val="32"/>
          <w:szCs w:val="32"/>
        </w:rPr>
        <w:t>1</w:t>
      </w:r>
      <w:r>
        <w:rPr>
          <w:rFonts w:hint="eastAsia" w:ascii="仿宋" w:hAnsi="仿宋" w:eastAsia="仿宋" w:cs="仿宋"/>
          <w:sz w:val="32"/>
          <w:szCs w:val="32"/>
        </w:rPr>
        <w:t>辆，其中一般公务用车</w:t>
      </w:r>
      <w:r>
        <w:rPr>
          <w:rFonts w:ascii="仿宋" w:hAnsi="仿宋" w:eastAsia="仿宋" w:cs="仿宋"/>
          <w:sz w:val="32"/>
          <w:szCs w:val="32"/>
        </w:rPr>
        <w:t>1</w:t>
      </w:r>
      <w:r>
        <w:rPr>
          <w:rFonts w:hint="eastAsia" w:ascii="仿宋" w:hAnsi="仿宋" w:eastAsia="仿宋" w:cs="仿宋"/>
          <w:sz w:val="32"/>
          <w:szCs w:val="32"/>
        </w:rPr>
        <w:t>辆；单位价值</w:t>
      </w:r>
      <w:r>
        <w:rPr>
          <w:rFonts w:ascii="仿宋" w:hAnsi="仿宋" w:eastAsia="仿宋" w:cs="仿宋"/>
          <w:sz w:val="32"/>
          <w:szCs w:val="32"/>
        </w:rPr>
        <w:t>50</w:t>
      </w:r>
      <w:r>
        <w:rPr>
          <w:rFonts w:hint="eastAsia" w:ascii="仿宋" w:hAnsi="仿宋" w:eastAsia="仿宋" w:cs="仿宋"/>
          <w:sz w:val="32"/>
          <w:szCs w:val="32"/>
        </w:rPr>
        <w:t>万元以上通用设备</w:t>
      </w:r>
      <w:r>
        <w:rPr>
          <w:rFonts w:ascii="仿宋" w:hAnsi="仿宋" w:eastAsia="仿宋" w:cs="仿宋"/>
          <w:sz w:val="32"/>
          <w:szCs w:val="32"/>
        </w:rPr>
        <w:t>0</w:t>
      </w:r>
      <w:r>
        <w:rPr>
          <w:rFonts w:hint="eastAsia" w:ascii="仿宋" w:hAnsi="仿宋" w:eastAsia="仿宋" w:cs="仿宋"/>
          <w:sz w:val="32"/>
          <w:szCs w:val="32"/>
        </w:rPr>
        <w:t>台（套），单价</w:t>
      </w:r>
      <w:r>
        <w:rPr>
          <w:rFonts w:ascii="仿宋" w:hAnsi="仿宋" w:eastAsia="仿宋" w:cs="仿宋"/>
          <w:sz w:val="32"/>
          <w:szCs w:val="32"/>
        </w:rPr>
        <w:t>100</w:t>
      </w:r>
      <w:r>
        <w:rPr>
          <w:rFonts w:hint="eastAsia" w:ascii="仿宋" w:hAnsi="仿宋" w:eastAsia="仿宋" w:cs="仿宋"/>
          <w:sz w:val="32"/>
          <w:szCs w:val="32"/>
        </w:rPr>
        <w:t>万元以上专用设备</w:t>
      </w:r>
      <w:r>
        <w:rPr>
          <w:rFonts w:ascii="仿宋" w:hAnsi="仿宋" w:eastAsia="仿宋" w:cs="仿宋"/>
          <w:sz w:val="32"/>
          <w:szCs w:val="32"/>
        </w:rPr>
        <w:t>0</w:t>
      </w:r>
      <w:r>
        <w:rPr>
          <w:rFonts w:hint="eastAsia" w:ascii="仿宋" w:hAnsi="仿宋" w:eastAsia="仿宋" w:cs="仿宋"/>
          <w:sz w:val="32"/>
          <w:szCs w:val="32"/>
        </w:rPr>
        <w:t>台（套）。</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本部门固定资产管理按照“统一领导，归口管理”的办法实行，固定资产的采购、保管、维修、配置和处置等工作由办公室负责。</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办公室对固定资产进行日常管理，定期进行清查盘点，保证账账相符，账实相符。年度对盘盈、盘亏的固定资产按相关规定及时处理。闲置的固定资产，按照规定及时研究处理，使之合理流动，充分发挥其使用效益。需要更新固定资产时，应严格按照国有资产处置有关规定，遵循物尽其用的原则，科学鉴定在用办公设备的报废条件，办理闲置或拟报废资产的处置手续后方可申报购置预算。</w:t>
      </w:r>
    </w:p>
    <w:p>
      <w:pPr>
        <w:pStyle w:val="2"/>
        <w:spacing w:line="360" w:lineRule="auto"/>
        <w:rPr>
          <w:rFonts w:ascii="仿宋" w:hAnsi="仿宋" w:eastAsia="仿宋" w:cs="仿宋"/>
        </w:rPr>
      </w:pPr>
      <w:bookmarkStart w:id="19" w:name="_Toc6446"/>
      <w:r>
        <w:rPr>
          <w:rFonts w:hint="eastAsia" w:ascii="仿宋" w:hAnsi="仿宋" w:eastAsia="仿宋" w:cs="仿宋"/>
        </w:rPr>
        <w:t>五、部门整体支出绩效情况</w:t>
      </w:r>
      <w:bookmarkEnd w:id="19"/>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2019年本单位按照年初工作规划和重点性工作安排，通过加强预算收支的管理，不断建立健全内部管理制度，梳理内部管理流程，部门整体支出管理情况得到了提升。根据前面对2019年部门整体支出状况的概述和分析，部门整体支出绩效情况如下：</w:t>
      </w:r>
    </w:p>
    <w:p>
      <w:pPr>
        <w:pStyle w:val="3"/>
        <w:spacing w:line="360" w:lineRule="auto"/>
        <w:ind w:firstLine="642" w:firstLineChars="200"/>
        <w:rPr>
          <w:rFonts w:ascii="仿宋" w:hAnsi="仿宋" w:eastAsia="仿宋" w:cs="仿宋"/>
        </w:rPr>
      </w:pPr>
      <w:bookmarkStart w:id="20" w:name="_Toc13988"/>
      <w:r>
        <w:rPr>
          <w:rFonts w:hint="eastAsia" w:ascii="仿宋" w:hAnsi="仿宋" w:eastAsia="仿宋" w:cs="仿宋"/>
        </w:rPr>
        <w:t>（一）经济性评价</w:t>
      </w:r>
      <w:bookmarkEnd w:id="20"/>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本年预算配置控制较好，财政供养人员控制在预算编制以内，切实做好厉行节约工作，努力降低行政成本。严格公务接待费、差旅费、会议费和培训费审核审批程序，加强对公务用车的管理，实行限额把关，会议费和培训费严格按年初计划和制度规定的标准执行，“三公”经费较好地控制在预算范围之内。</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预算执行比较到位，支出总额控制在预算总额以内，全年无截留或滞留专项资金情况；全年没有新建楼堂馆所；对于单位的政府采购项目，凡单位购买属于政府采购范围内的货物、工程和服务，严格遵守政府采购相关法律法规的规定办理相关审批手续，政府采购执行率达到</w:t>
      </w:r>
      <w:r>
        <w:rPr>
          <w:rFonts w:ascii="仿宋" w:hAnsi="仿宋" w:eastAsia="仿宋" w:cs="仿宋"/>
          <w:sz w:val="32"/>
          <w:szCs w:val="32"/>
        </w:rPr>
        <w:t>100%</w:t>
      </w:r>
      <w:r>
        <w:rPr>
          <w:rFonts w:hint="eastAsia" w:ascii="仿宋" w:hAnsi="仿宋" w:eastAsia="仿宋" w:cs="仿宋"/>
          <w:sz w:val="32"/>
          <w:szCs w:val="32"/>
        </w:rPr>
        <w:t>。</w:t>
      </w:r>
    </w:p>
    <w:p>
      <w:pPr>
        <w:pStyle w:val="3"/>
        <w:spacing w:line="360" w:lineRule="auto"/>
        <w:ind w:firstLine="642" w:firstLineChars="200"/>
        <w:rPr>
          <w:rFonts w:ascii="仿宋" w:hAnsi="仿宋" w:eastAsia="仿宋" w:cs="仿宋"/>
        </w:rPr>
      </w:pPr>
      <w:bookmarkStart w:id="21" w:name="_Toc15985"/>
      <w:r>
        <w:rPr>
          <w:rFonts w:hint="eastAsia" w:ascii="仿宋" w:hAnsi="仿宋" w:eastAsia="仿宋" w:cs="仿宋"/>
        </w:rPr>
        <w:t>（二）效率性和有效性评价</w:t>
      </w:r>
      <w:bookmarkEnd w:id="21"/>
    </w:p>
    <w:p>
      <w:pPr>
        <w:adjustRightInd w:val="0"/>
        <w:snapToGrid w:val="0"/>
        <w:spacing w:line="360" w:lineRule="auto"/>
        <w:ind w:firstLine="640"/>
        <w:rPr>
          <w:rFonts w:ascii="仿宋_GB2312" w:eastAsia="仿宋_GB2312"/>
          <w:sz w:val="32"/>
          <w:szCs w:val="32"/>
        </w:rPr>
      </w:pPr>
      <w:r>
        <w:rPr>
          <w:rFonts w:hint="eastAsia" w:ascii="仿宋_GB2312" w:hAnsi="仿宋_GB2312" w:eastAsia="仿宋_GB2312" w:cs="仿宋_GB2312"/>
          <w:color w:val="000000"/>
          <w:sz w:val="32"/>
          <w:szCs w:val="32"/>
        </w:rPr>
        <w:t>2019年</w:t>
      </w:r>
      <w:r>
        <w:rPr>
          <w:rFonts w:ascii="仿宋_GB2312" w:hAnsi="仿宋_GB2312" w:eastAsia="仿宋_GB2312" w:cs="仿宋_GB2312"/>
          <w:color w:val="000000"/>
          <w:sz w:val="32"/>
          <w:szCs w:val="32"/>
        </w:rPr>
        <w:t>是新中国成立70周年，是全面建成小康社会实现第一个百年奋斗目标的关键之年。一年来</w:t>
      </w:r>
      <w:r>
        <w:rPr>
          <w:rFonts w:hint="eastAsia" w:ascii="仿宋_GB2312" w:hAnsi="仿宋_GB2312" w:eastAsia="仿宋_GB2312" w:cs="仿宋_GB2312"/>
          <w:color w:val="000000"/>
          <w:sz w:val="32"/>
          <w:szCs w:val="32"/>
        </w:rPr>
        <w:t>，</w:t>
      </w:r>
      <w:r>
        <w:rPr>
          <w:rFonts w:ascii="仿宋_GB2312" w:hAnsi="仿宋_GB2312" w:eastAsia="仿宋_GB2312" w:cs="仿宋_GB2312"/>
          <w:color w:val="000000"/>
          <w:sz w:val="32"/>
          <w:szCs w:val="32"/>
        </w:rPr>
        <w:t>我们</w:t>
      </w:r>
      <w:r>
        <w:rPr>
          <w:rFonts w:ascii="仿宋_GB2312" w:hAnsi="宋体" w:eastAsia="仿宋_GB2312"/>
          <w:color w:val="000000"/>
          <w:sz w:val="32"/>
          <w:szCs w:val="32"/>
        </w:rPr>
        <w:t>认真</w:t>
      </w:r>
      <w:r>
        <w:rPr>
          <w:rFonts w:hint="eastAsia" w:ascii="仿宋_GB2312" w:hAnsi="宋体" w:eastAsia="仿宋_GB2312"/>
          <w:color w:val="000000"/>
          <w:sz w:val="32"/>
          <w:szCs w:val="32"/>
        </w:rPr>
        <w:t>学习贯彻习近平新时代中国特色社会主义思想</w:t>
      </w:r>
      <w:r>
        <w:rPr>
          <w:rFonts w:ascii="仿宋_GB2312" w:hAnsi="宋体" w:eastAsia="仿宋_GB2312"/>
          <w:color w:val="000000"/>
          <w:sz w:val="32"/>
          <w:szCs w:val="32"/>
        </w:rPr>
        <w:t>和</w:t>
      </w:r>
      <w:r>
        <w:rPr>
          <w:rFonts w:hint="eastAsia" w:ascii="仿宋_GB2312" w:hAnsi="宋体" w:eastAsia="仿宋_GB2312"/>
          <w:color w:val="000000"/>
          <w:sz w:val="32"/>
          <w:szCs w:val="32"/>
        </w:rPr>
        <w:t>党的十九大</w:t>
      </w:r>
      <w:r>
        <w:rPr>
          <w:rFonts w:ascii="仿宋_GB2312" w:hAnsi="宋体" w:eastAsia="仿宋_GB2312"/>
          <w:color w:val="000000"/>
          <w:sz w:val="32"/>
          <w:szCs w:val="32"/>
        </w:rPr>
        <w:t>及十九届二中、三中、四中全会</w:t>
      </w:r>
      <w:r>
        <w:rPr>
          <w:rFonts w:hint="eastAsia" w:ascii="仿宋_GB2312" w:hAnsi="宋体" w:eastAsia="仿宋_GB2312"/>
          <w:color w:val="000000"/>
          <w:sz w:val="32"/>
          <w:szCs w:val="32"/>
        </w:rPr>
        <w:t>精神，</w:t>
      </w:r>
      <w:r>
        <w:rPr>
          <w:rFonts w:ascii="仿宋_GB2312" w:hAnsi="宋体" w:eastAsia="仿宋_GB2312"/>
          <w:color w:val="000000"/>
          <w:sz w:val="32"/>
          <w:szCs w:val="32"/>
        </w:rPr>
        <w:t>以贯彻</w:t>
      </w:r>
      <w:r>
        <w:rPr>
          <w:rFonts w:hint="eastAsia" w:ascii="仿宋_GB2312" w:hAnsi="宋体" w:eastAsia="仿宋_GB2312"/>
          <w:color w:val="000000"/>
          <w:sz w:val="32"/>
          <w:szCs w:val="32"/>
        </w:rPr>
        <w:t>落实习近平总书记在民营企业座谈会上的重要讲话精神</w:t>
      </w:r>
      <w:r>
        <w:rPr>
          <w:rFonts w:ascii="仿宋_GB2312" w:hAnsi="宋体" w:eastAsia="仿宋_GB2312"/>
          <w:color w:val="000000"/>
          <w:sz w:val="32"/>
          <w:szCs w:val="32"/>
        </w:rPr>
        <w:t>为工作主线</w:t>
      </w:r>
      <w:r>
        <w:rPr>
          <w:rFonts w:hint="eastAsia" w:ascii="仿宋_GB2312" w:hAnsi="宋体" w:eastAsia="仿宋_GB2312"/>
          <w:color w:val="000000"/>
          <w:sz w:val="32"/>
          <w:szCs w:val="32"/>
        </w:rPr>
        <w:t>,紧紧围绕全市中心工作，聚焦产业项目建设年、营商环境优化年，紧扣“两个健康”主题，</w:t>
      </w:r>
      <w:r>
        <w:rPr>
          <w:rFonts w:ascii="仿宋_GB2312" w:hAnsi="宋体" w:eastAsia="仿宋_GB2312"/>
          <w:color w:val="000000"/>
          <w:sz w:val="32"/>
          <w:szCs w:val="32"/>
        </w:rPr>
        <w:t>创新落实各项工作，取得显著进展，</w:t>
      </w:r>
      <w:r>
        <w:rPr>
          <w:rFonts w:hint="eastAsia" w:ascii="仿宋_GB2312" w:hAnsi="宋体" w:eastAsia="仿宋_GB2312"/>
          <w:color w:val="000000"/>
          <w:sz w:val="32"/>
          <w:szCs w:val="32"/>
        </w:rPr>
        <w:t>连续五年荣获</w:t>
      </w:r>
      <w:r>
        <w:rPr>
          <w:rFonts w:ascii="仿宋_GB2312" w:hAnsi="宋体" w:eastAsia="仿宋_GB2312"/>
          <w:color w:val="000000"/>
          <w:sz w:val="32"/>
          <w:szCs w:val="32"/>
        </w:rPr>
        <w:t>全国</w:t>
      </w:r>
      <w:r>
        <w:rPr>
          <w:rFonts w:hint="eastAsia" w:ascii="仿宋_GB2312" w:hAnsi="宋体" w:eastAsia="仿宋_GB2312"/>
          <w:color w:val="000000"/>
          <w:sz w:val="32"/>
          <w:szCs w:val="32"/>
        </w:rPr>
        <w:t>工商联“创新中国”</w:t>
      </w:r>
      <w:r>
        <w:rPr>
          <w:rFonts w:ascii="仿宋_GB2312" w:hAnsi="宋体" w:eastAsia="仿宋_GB2312"/>
          <w:color w:val="000000"/>
          <w:sz w:val="32"/>
          <w:szCs w:val="32"/>
        </w:rPr>
        <w:t>奖。</w:t>
      </w:r>
      <w:r>
        <w:rPr>
          <w:rFonts w:hint="eastAsia" w:ascii="仿宋_GB2312" w:hAnsi="仿宋_GB2312" w:eastAsia="仿宋_GB2312" w:cs="仿宋_GB2312"/>
          <w:sz w:val="32"/>
          <w:szCs w:val="32"/>
        </w:rPr>
        <w:t>全市非公经济实现稳中有进，稳中提质，呈现出稳中向好的发展态势</w:t>
      </w:r>
      <w:r>
        <w:rPr>
          <w:rFonts w:hint="eastAsia" w:ascii="仿宋_GB2312" w:eastAsia="仿宋_GB2312"/>
          <w:sz w:val="32"/>
          <w:szCs w:val="32"/>
        </w:rPr>
        <w:t>,全年非公经济增加值预计增长率8.2%。</w:t>
      </w:r>
    </w:p>
    <w:p>
      <w:pPr>
        <w:pStyle w:val="3"/>
        <w:spacing w:line="360" w:lineRule="auto"/>
        <w:ind w:firstLine="642" w:firstLineChars="200"/>
        <w:rPr>
          <w:rFonts w:ascii="仿宋" w:hAnsi="仿宋" w:eastAsia="仿宋" w:cs="仿宋"/>
        </w:rPr>
      </w:pPr>
      <w:bookmarkStart w:id="22" w:name="_Toc18727"/>
      <w:r>
        <w:rPr>
          <w:rFonts w:hint="eastAsia" w:ascii="仿宋" w:hAnsi="仿宋" w:eastAsia="仿宋" w:cs="仿宋"/>
        </w:rPr>
        <w:t>（三）可持续性评价</w:t>
      </w:r>
      <w:bookmarkEnd w:id="22"/>
    </w:p>
    <w:p>
      <w:pPr>
        <w:adjustRightInd w:val="0"/>
        <w:snapToGrid w:val="0"/>
        <w:spacing w:line="360" w:lineRule="auto"/>
        <w:ind w:firstLine="642" w:firstLineChars="200"/>
        <w:rPr>
          <w:rFonts w:ascii="仿宋_GB2312" w:hAnsi="宋体" w:eastAsia="仿宋_GB2312"/>
          <w:color w:val="000000"/>
          <w:sz w:val="32"/>
          <w:szCs w:val="32"/>
        </w:rPr>
      </w:pPr>
      <w:r>
        <w:rPr>
          <w:rFonts w:hint="eastAsia" w:ascii="楷体_GB2312" w:hAnsi="楷体_GB2312" w:eastAsia="楷体_GB2312" w:cs="楷体_GB2312"/>
          <w:b/>
          <w:bCs/>
          <w:sz w:val="32"/>
          <w:szCs w:val="32"/>
        </w:rPr>
        <w:t>1、抓调查研究，强建言实效</w:t>
      </w:r>
      <w:r>
        <w:rPr>
          <w:rFonts w:ascii="楷体_GB2312" w:hAnsi="楷体_GB2312" w:eastAsia="楷体_GB2312" w:cs="楷体_GB2312"/>
          <w:b/>
          <w:bCs/>
          <w:sz w:val="32"/>
          <w:szCs w:val="32"/>
        </w:rPr>
        <w:t>。</w:t>
      </w:r>
      <w:r>
        <w:rPr>
          <w:rFonts w:ascii="仿宋_GB2312" w:hAnsi="宋体" w:eastAsia="仿宋_GB2312"/>
          <w:color w:val="000000"/>
          <w:sz w:val="32"/>
          <w:szCs w:val="32"/>
        </w:rPr>
        <w:t>高质量完成</w:t>
      </w:r>
      <w:r>
        <w:rPr>
          <w:rFonts w:ascii="仿宋_GB2312" w:eastAsia="仿宋_GB2312"/>
          <w:sz w:val="32"/>
          <w:szCs w:val="32"/>
        </w:rPr>
        <w:t>年度市委重点调研课题《以新兴优势产业链融合创新引领长株潭高质量一体化发展》，</w:t>
      </w:r>
      <w:r>
        <w:rPr>
          <w:rFonts w:ascii="仿宋_GB2312" w:hAnsi="宋体" w:eastAsia="仿宋_GB2312"/>
          <w:color w:val="000000"/>
          <w:sz w:val="32"/>
          <w:szCs w:val="32"/>
        </w:rPr>
        <w:t>结合全国工商联问卷完成《长沙市民营企业评营商环境报告》，</w:t>
      </w:r>
      <w:r>
        <w:rPr>
          <w:rFonts w:ascii="仿宋_GB2312" w:eastAsia="仿宋_GB2312"/>
          <w:sz w:val="32"/>
          <w:szCs w:val="32"/>
        </w:rPr>
        <w:t>积极参加全国工商联、省政协、省工商联关于一带一路、核心技术创新、政策落实与完善、简政减税降费政策效果等调研，及时以提案、建议等形式向市委市政府反映长沙民营经济诉求和重点行业发展问题，支持企业创新发展。多项成果获全国工商联、省工商联表彰。提交市政协集体提案8份，其中《关于协同创新驱动长沙民营企业高质量发展》的提案获省委常委、市委书记胡衡华亲自领办，直接推动市科技局出台《协同创新促进长沙高质量发展》文件。全年上报社情民意信息33篇，《解决农产品周期性滞销需要多管齐下共同发力》被全国政协采用，省政协采用2篇，市政协采用6篇。</w:t>
      </w:r>
    </w:p>
    <w:p>
      <w:pPr>
        <w:adjustRightInd w:val="0"/>
        <w:snapToGrid w:val="0"/>
        <w:spacing w:line="360" w:lineRule="auto"/>
        <w:ind w:firstLine="642"/>
        <w:rPr>
          <w:rFonts w:ascii="仿宋_GB2312" w:hAnsi="宋体" w:eastAsia="仿宋_GB2312"/>
          <w:color w:val="000000"/>
          <w:sz w:val="32"/>
          <w:szCs w:val="32"/>
        </w:rPr>
      </w:pPr>
      <w:r>
        <w:rPr>
          <w:rFonts w:hint="eastAsia" w:ascii="楷体_GB2312" w:hAnsi="楷体_GB2312" w:eastAsia="楷体_GB2312" w:cs="楷体_GB2312"/>
          <w:b/>
          <w:bCs/>
          <w:sz w:val="32"/>
          <w:szCs w:val="32"/>
        </w:rPr>
        <w:t>2、抓产权保护</w:t>
      </w:r>
      <w:r>
        <w:rPr>
          <w:rFonts w:ascii="楷体_GB2312" w:hAnsi="楷体_GB2312" w:eastAsia="楷体_GB2312" w:cs="楷体_GB2312"/>
          <w:b/>
          <w:bCs/>
          <w:sz w:val="32"/>
          <w:szCs w:val="32"/>
        </w:rPr>
        <w:t>,</w:t>
      </w:r>
      <w:r>
        <w:rPr>
          <w:rFonts w:hint="eastAsia" w:ascii="楷体_GB2312" w:hAnsi="楷体_GB2312" w:eastAsia="楷体_GB2312" w:cs="楷体_GB2312"/>
          <w:b/>
          <w:bCs/>
          <w:sz w:val="32"/>
          <w:szCs w:val="32"/>
        </w:rPr>
        <w:t>强市场信心。</w:t>
      </w:r>
      <w:r>
        <w:rPr>
          <w:rFonts w:ascii="仿宋_GB2312" w:hAnsi="宋体" w:eastAsia="仿宋_GB2312"/>
          <w:color w:val="000000"/>
          <w:sz w:val="32"/>
          <w:szCs w:val="32"/>
        </w:rPr>
        <w:t>防范和化解民营企业风险，助力民营企业高质量发展，联合举办“民营企业风险防范与化解”专题培训班，特邀北京师范大学刑事法律科学研究院院长张远煌、中国民生银行副行长胡庆华主讲，企业家代表300余人参加培训。推动</w:t>
      </w:r>
      <w:r>
        <w:rPr>
          <w:rFonts w:hint="eastAsia" w:ascii="仿宋_GB2312" w:hAnsi="宋体" w:eastAsia="仿宋_GB2312"/>
          <w:color w:val="000000"/>
          <w:sz w:val="32"/>
          <w:szCs w:val="32"/>
        </w:rPr>
        <w:t>建立检察长联系商会和企业家制度</w:t>
      </w:r>
      <w:r>
        <w:rPr>
          <w:rFonts w:ascii="仿宋_GB2312" w:hAnsi="宋体" w:eastAsia="仿宋_GB2312"/>
          <w:color w:val="000000"/>
          <w:sz w:val="32"/>
          <w:szCs w:val="32"/>
        </w:rPr>
        <w:t>，配合市检察院“长检馨声”法治巡讲团送法进园区、进商会（协会）、进企业</w:t>
      </w:r>
      <w:r>
        <w:rPr>
          <w:rFonts w:hint="eastAsia" w:ascii="仿宋_GB2312" w:hAnsi="宋体" w:eastAsia="仿宋_GB2312"/>
          <w:color w:val="000000"/>
          <w:sz w:val="32"/>
          <w:szCs w:val="32"/>
        </w:rPr>
        <w:t>。</w:t>
      </w:r>
      <w:r>
        <w:rPr>
          <w:rFonts w:ascii="仿宋_GB2312" w:hAnsi="宋体" w:eastAsia="仿宋_GB2312"/>
          <w:color w:val="000000"/>
          <w:sz w:val="32"/>
          <w:szCs w:val="32"/>
        </w:rPr>
        <w:t>联合开展企业法律体检工作；收集政府部门及国有企事业单位拖欠民营企业帐款问题和</w:t>
      </w:r>
      <w:r>
        <w:rPr>
          <w:rFonts w:hint="eastAsia" w:ascii="仿宋_GB2312" w:hAnsi="宋体" w:eastAsia="仿宋_GB2312"/>
          <w:color w:val="000000"/>
          <w:sz w:val="32"/>
          <w:szCs w:val="32"/>
        </w:rPr>
        <w:t>“新官不理旧事、政府及部门不诚信”案例报</w:t>
      </w:r>
      <w:r>
        <w:rPr>
          <w:rFonts w:ascii="仿宋_GB2312" w:hAnsi="宋体" w:eastAsia="仿宋_GB2312"/>
          <w:color w:val="000000"/>
          <w:sz w:val="32"/>
          <w:szCs w:val="32"/>
        </w:rPr>
        <w:t>相关部门处理</w:t>
      </w:r>
      <w:r>
        <w:rPr>
          <w:rFonts w:hint="eastAsia" w:ascii="仿宋_GB2312" w:hAnsi="宋体" w:eastAsia="仿宋_GB2312"/>
          <w:color w:val="000000"/>
          <w:sz w:val="32"/>
          <w:szCs w:val="32"/>
        </w:rPr>
        <w:t>。指导成立全省第一家按照最高人民法院和全国工商联要求成立的商会商事调解组织，长沙市雨花区总商会商事调解中心</w:t>
      </w:r>
      <w:r>
        <w:rPr>
          <w:rFonts w:ascii="仿宋_GB2312" w:hAnsi="宋体" w:eastAsia="仿宋_GB2312"/>
          <w:color w:val="000000"/>
          <w:sz w:val="32"/>
          <w:szCs w:val="32"/>
        </w:rPr>
        <w:t>，工作</w:t>
      </w:r>
      <w:r>
        <w:rPr>
          <w:rFonts w:hint="eastAsia" w:ascii="仿宋_GB2312" w:hAnsi="宋体" w:eastAsia="仿宋_GB2312"/>
          <w:color w:val="000000"/>
          <w:sz w:val="32"/>
          <w:szCs w:val="32"/>
        </w:rPr>
        <w:t>得到省政协副主席、省工商联主席张健的高度评价，得到最高人民法院立案庭长等各级领导</w:t>
      </w:r>
      <w:r>
        <w:rPr>
          <w:rFonts w:ascii="仿宋_GB2312" w:hAnsi="宋体" w:eastAsia="仿宋_GB2312"/>
          <w:color w:val="000000"/>
          <w:sz w:val="32"/>
          <w:szCs w:val="32"/>
        </w:rPr>
        <w:t>充分</w:t>
      </w:r>
      <w:r>
        <w:rPr>
          <w:rFonts w:hint="eastAsia" w:ascii="仿宋_GB2312" w:hAnsi="宋体" w:eastAsia="仿宋_GB2312"/>
          <w:color w:val="000000"/>
          <w:sz w:val="32"/>
          <w:szCs w:val="32"/>
        </w:rPr>
        <w:t>肯定。</w:t>
      </w:r>
    </w:p>
    <w:p>
      <w:pPr>
        <w:adjustRightInd w:val="0"/>
        <w:snapToGrid w:val="0"/>
        <w:spacing w:line="360" w:lineRule="auto"/>
        <w:ind w:firstLine="642"/>
        <w:rPr>
          <w:rFonts w:ascii="仿宋_GB2312" w:hAnsi="宋体" w:eastAsia="仿宋_GB2312"/>
          <w:color w:val="000000"/>
          <w:sz w:val="32"/>
          <w:szCs w:val="32"/>
        </w:rPr>
      </w:pPr>
      <w:r>
        <w:rPr>
          <w:rFonts w:ascii="仿宋_GB2312" w:hAnsi="宋体" w:eastAsia="仿宋_GB2312"/>
          <w:color w:val="000000"/>
          <w:sz w:val="32"/>
          <w:szCs w:val="32"/>
        </w:rPr>
        <w:t>一年来的实践表明，只要我们充分发挥职能作用，全力推进</w:t>
      </w:r>
      <w:r>
        <w:rPr>
          <w:rFonts w:hint="eastAsia" w:ascii="仿宋_GB2312" w:hAnsi="宋体" w:eastAsia="仿宋_GB2312"/>
          <w:color w:val="000000"/>
          <w:sz w:val="32"/>
          <w:szCs w:val="32"/>
          <w:lang w:eastAsia="zh-CN"/>
        </w:rPr>
        <w:t>习近平</w:t>
      </w:r>
      <w:r>
        <w:rPr>
          <w:rFonts w:ascii="仿宋_GB2312" w:hAnsi="宋体" w:eastAsia="仿宋_GB2312"/>
          <w:color w:val="000000"/>
          <w:sz w:val="32"/>
          <w:szCs w:val="32"/>
        </w:rPr>
        <w:t>总书记重要讲话精神的贯彻落实，民营企业家的政策获得感一定会更加强烈，发展的信心会更加充足！</w:t>
      </w:r>
    </w:p>
    <w:p>
      <w:pPr>
        <w:adjustRightInd w:val="0"/>
        <w:snapToGrid w:val="0"/>
        <w:spacing w:line="360" w:lineRule="auto"/>
        <w:ind w:firstLine="642" w:firstLineChars="200"/>
        <w:rPr>
          <w:rFonts w:ascii="仿宋_GB2312" w:hAnsi="宋体" w:eastAsia="仿宋_GB2312"/>
          <w:color w:val="000000"/>
          <w:sz w:val="32"/>
          <w:szCs w:val="32"/>
        </w:rPr>
      </w:pPr>
      <w:r>
        <w:rPr>
          <w:rFonts w:hint="eastAsia" w:ascii="楷体_GB2312" w:hAnsi="楷体_GB2312" w:eastAsia="楷体_GB2312" w:cs="楷体_GB2312"/>
          <w:b/>
          <w:bCs/>
          <w:sz w:val="32"/>
          <w:szCs w:val="32"/>
        </w:rPr>
        <w:t>3、抓自身建设，强队伍素质。</w:t>
      </w:r>
      <w:r>
        <w:rPr>
          <w:rFonts w:ascii="仿宋_GB2312" w:hAnsi="宋体" w:eastAsia="仿宋_GB2312"/>
          <w:b/>
          <w:bCs/>
          <w:color w:val="000000"/>
          <w:sz w:val="32"/>
          <w:szCs w:val="32"/>
        </w:rPr>
        <w:t>推进</w:t>
      </w:r>
      <w:r>
        <w:rPr>
          <w:rFonts w:hint="eastAsia" w:ascii="仿宋_GB2312" w:hAnsi="宋体" w:eastAsia="仿宋_GB2312"/>
          <w:b/>
          <w:bCs/>
          <w:color w:val="000000"/>
          <w:sz w:val="32"/>
          <w:szCs w:val="32"/>
        </w:rPr>
        <w:t>“四好”商会</w:t>
      </w:r>
      <w:r>
        <w:rPr>
          <w:rFonts w:ascii="仿宋_GB2312" w:hAnsi="宋体" w:eastAsia="仿宋_GB2312"/>
          <w:b/>
          <w:bCs/>
          <w:color w:val="000000"/>
          <w:sz w:val="32"/>
          <w:szCs w:val="32"/>
        </w:rPr>
        <w:t>建设。</w:t>
      </w:r>
      <w:r>
        <w:rPr>
          <w:rFonts w:hint="eastAsia" w:ascii="仿宋_GB2312" w:hAnsi="宋体" w:eastAsia="仿宋_GB2312"/>
          <w:color w:val="000000"/>
          <w:sz w:val="32"/>
          <w:szCs w:val="32"/>
        </w:rPr>
        <w:t>制定推进“四好”商会建设工作实施方案，组织召开全市乡镇（街道）商会组织建设现场经验交流会。指导长沙市</w:t>
      </w:r>
      <w:r>
        <w:rPr>
          <w:rFonts w:ascii="仿宋_GB2312" w:hAnsi="宋体" w:eastAsia="仿宋_GB2312"/>
          <w:color w:val="000000"/>
          <w:sz w:val="32"/>
          <w:szCs w:val="32"/>
        </w:rPr>
        <w:t>哈尔滨</w:t>
      </w:r>
      <w:r>
        <w:rPr>
          <w:rFonts w:hint="eastAsia" w:ascii="仿宋_GB2312" w:hAnsi="宋体" w:eastAsia="仿宋_GB2312"/>
          <w:color w:val="000000"/>
          <w:sz w:val="32"/>
          <w:szCs w:val="32"/>
        </w:rPr>
        <w:t>商会等14家商会成立，衡阳商会等12家商会换届。</w:t>
      </w:r>
      <w:r>
        <w:rPr>
          <w:rFonts w:ascii="仿宋_GB2312" w:hAnsi="宋体" w:eastAsia="仿宋_GB2312"/>
          <w:color w:val="000000"/>
          <w:sz w:val="32"/>
          <w:szCs w:val="32"/>
        </w:rPr>
        <w:t>目前全市商协会达326家，其中</w:t>
      </w:r>
      <w:r>
        <w:rPr>
          <w:rFonts w:hint="eastAsia" w:ascii="仿宋_GB2312" w:hAnsi="宋体" w:eastAsia="仿宋_GB2312"/>
          <w:color w:val="000000"/>
          <w:sz w:val="32"/>
          <w:szCs w:val="32"/>
        </w:rPr>
        <w:t>长沙市常德商会、长沙县黄兴商会获评全国“四好”商会，长沙市常宁商会等5家商会获评全省“四好”商会，</w:t>
      </w:r>
      <w:r>
        <w:rPr>
          <w:rFonts w:ascii="仿宋_GB2312" w:hAnsi="宋体" w:eastAsia="仿宋_GB2312"/>
          <w:color w:val="000000"/>
          <w:sz w:val="32"/>
          <w:szCs w:val="32"/>
        </w:rPr>
        <w:t>市级认定</w:t>
      </w:r>
      <w:r>
        <w:rPr>
          <w:rFonts w:hint="eastAsia" w:ascii="仿宋_GB2312" w:hAnsi="宋体" w:eastAsia="仿宋_GB2312"/>
          <w:color w:val="000000"/>
          <w:sz w:val="32"/>
          <w:szCs w:val="32"/>
        </w:rPr>
        <w:t>“四好”商会</w:t>
      </w:r>
      <w:r>
        <w:rPr>
          <w:rFonts w:ascii="仿宋_GB2312" w:hAnsi="宋体" w:eastAsia="仿宋_GB2312"/>
          <w:color w:val="000000"/>
          <w:sz w:val="32"/>
          <w:szCs w:val="32"/>
        </w:rPr>
        <w:t>达229</w:t>
      </w:r>
      <w:r>
        <w:rPr>
          <w:rFonts w:hint="eastAsia" w:ascii="仿宋_GB2312" w:hAnsi="宋体" w:eastAsia="仿宋_GB2312"/>
          <w:color w:val="000000"/>
          <w:sz w:val="32"/>
          <w:szCs w:val="32"/>
        </w:rPr>
        <w:t>家</w:t>
      </w:r>
      <w:r>
        <w:rPr>
          <w:rFonts w:ascii="仿宋_GB2312" w:hAnsi="宋体" w:eastAsia="仿宋_GB2312"/>
          <w:color w:val="000000"/>
          <w:sz w:val="32"/>
          <w:szCs w:val="32"/>
        </w:rPr>
        <w:t>,占70.2%</w:t>
      </w:r>
      <w:r>
        <w:rPr>
          <w:rFonts w:hint="eastAsia" w:ascii="仿宋_GB2312" w:hAnsi="宋体" w:eastAsia="仿宋_GB2312"/>
          <w:color w:val="000000"/>
          <w:sz w:val="32"/>
          <w:szCs w:val="32"/>
        </w:rPr>
        <w:t>。</w:t>
      </w:r>
      <w:r>
        <w:rPr>
          <w:rFonts w:ascii="仿宋_GB2312" w:hAnsi="宋体" w:eastAsia="仿宋_GB2312"/>
          <w:color w:val="000000"/>
          <w:sz w:val="32"/>
          <w:szCs w:val="32"/>
        </w:rPr>
        <w:t>全年新发展会员2691个，全市会员总数达到33461个。</w:t>
      </w:r>
      <w:r>
        <w:rPr>
          <w:rFonts w:ascii="仿宋_GB2312" w:hAnsi="宋体" w:eastAsia="仿宋_GB2312"/>
          <w:b/>
          <w:bCs/>
          <w:color w:val="000000"/>
          <w:sz w:val="32"/>
          <w:szCs w:val="32"/>
        </w:rPr>
        <w:t>巩固“五好”工商联建设成效。</w:t>
      </w:r>
      <w:r>
        <w:rPr>
          <w:rFonts w:ascii="仿宋_GB2312" w:hAnsi="宋体" w:eastAsia="仿宋_GB2312"/>
          <w:color w:val="000000"/>
          <w:sz w:val="32"/>
          <w:szCs w:val="32"/>
        </w:rPr>
        <w:t>创新开展“五好”县级工商联观摩互学互促活动，进一步</w:t>
      </w:r>
      <w:r>
        <w:rPr>
          <w:rFonts w:hint="eastAsia" w:ascii="仿宋_GB2312" w:hAnsi="宋体" w:eastAsia="仿宋_GB2312"/>
          <w:color w:val="000000"/>
          <w:sz w:val="32"/>
          <w:szCs w:val="32"/>
        </w:rPr>
        <w:t>推进“五好”县级工商联建设工作</w:t>
      </w:r>
      <w:r>
        <w:rPr>
          <w:rFonts w:ascii="仿宋_GB2312" w:hAnsi="宋体" w:eastAsia="仿宋_GB2312"/>
          <w:color w:val="000000"/>
          <w:sz w:val="32"/>
          <w:szCs w:val="32"/>
        </w:rPr>
        <w:t>，9个区县市工商联全部获评全国“五好”工商联。</w:t>
      </w:r>
      <w:r>
        <w:rPr>
          <w:rFonts w:ascii="仿宋_GB2312" w:hAnsi="宋体" w:eastAsia="仿宋_GB2312"/>
          <w:b/>
          <w:bCs/>
          <w:color w:val="000000"/>
          <w:sz w:val="32"/>
          <w:szCs w:val="32"/>
        </w:rPr>
        <w:t>加强机关</w:t>
      </w:r>
      <w:r>
        <w:rPr>
          <w:rFonts w:hint="eastAsia" w:ascii="仿宋_GB2312" w:hAnsi="宋体" w:eastAsia="仿宋_GB2312"/>
          <w:b/>
          <w:bCs/>
          <w:color w:val="000000"/>
          <w:sz w:val="32"/>
          <w:szCs w:val="32"/>
        </w:rPr>
        <w:t>作风建设。</w:t>
      </w:r>
      <w:r>
        <w:rPr>
          <w:rFonts w:hint="eastAsia" w:ascii="仿宋_GB2312" w:hAnsi="宋体" w:eastAsia="仿宋_GB2312"/>
          <w:color w:val="000000"/>
          <w:sz w:val="32"/>
          <w:szCs w:val="32"/>
        </w:rPr>
        <w:t>落实“四会”要求，建设“学习型、服务型、创新型”机关，完善长效制度监督机制，加强绩效考核</w:t>
      </w:r>
      <w:r>
        <w:rPr>
          <w:rFonts w:ascii="仿宋_GB2312" w:hAnsi="宋体" w:eastAsia="仿宋_GB2312"/>
          <w:color w:val="000000"/>
          <w:sz w:val="32"/>
          <w:szCs w:val="32"/>
        </w:rPr>
        <w:t>、</w:t>
      </w:r>
      <w:r>
        <w:rPr>
          <w:rFonts w:hint="eastAsia" w:ascii="仿宋_GB2312" w:hAnsi="宋体" w:eastAsia="仿宋_GB2312"/>
          <w:color w:val="000000"/>
          <w:sz w:val="32"/>
          <w:szCs w:val="32"/>
        </w:rPr>
        <w:t>机关文明创建</w:t>
      </w:r>
      <w:r>
        <w:rPr>
          <w:rFonts w:ascii="仿宋_GB2312" w:hAnsi="宋体" w:eastAsia="仿宋_GB2312"/>
          <w:color w:val="000000"/>
          <w:sz w:val="32"/>
          <w:szCs w:val="32"/>
        </w:rPr>
        <w:t>、</w:t>
      </w:r>
      <w:r>
        <w:rPr>
          <w:rFonts w:hint="eastAsia" w:ascii="仿宋_GB2312" w:hAnsi="宋体" w:eastAsia="仿宋_GB2312"/>
          <w:color w:val="000000"/>
          <w:sz w:val="32"/>
          <w:szCs w:val="32"/>
        </w:rPr>
        <w:t>社会治安综合治理工作</w:t>
      </w:r>
      <w:r>
        <w:rPr>
          <w:rFonts w:ascii="仿宋_GB2312" w:hAnsi="宋体" w:eastAsia="仿宋_GB2312"/>
          <w:color w:val="000000"/>
          <w:sz w:val="32"/>
          <w:szCs w:val="32"/>
        </w:rPr>
        <w:t>，</w:t>
      </w:r>
      <w:r>
        <w:rPr>
          <w:rFonts w:hint="eastAsia" w:ascii="仿宋_GB2312" w:hAnsi="宋体" w:eastAsia="仿宋_GB2312"/>
          <w:color w:val="000000"/>
          <w:sz w:val="32"/>
          <w:szCs w:val="32"/>
        </w:rPr>
        <w:t>推动工作落实创新。</w:t>
      </w:r>
    </w:p>
    <w:p>
      <w:pPr>
        <w:pStyle w:val="2"/>
        <w:spacing w:line="360" w:lineRule="auto"/>
        <w:rPr>
          <w:rFonts w:ascii="仿宋" w:hAnsi="仿宋" w:eastAsia="仿宋" w:cs="仿宋"/>
        </w:rPr>
      </w:pPr>
      <w:bookmarkStart w:id="23" w:name="_Toc15006"/>
      <w:r>
        <w:rPr>
          <w:rFonts w:hint="eastAsia" w:ascii="仿宋" w:hAnsi="仿宋" w:eastAsia="仿宋" w:cs="仿宋"/>
        </w:rPr>
        <w:t>六、存在的主要问题</w:t>
      </w:r>
      <w:bookmarkEnd w:id="23"/>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通过上述对本单位整体支出情况的分析，在整体支出的预算编制、执行和管理过程中，依然存在一些问题和不足。</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napToGrid w:val="0"/>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本单位基本支出预算安排834.18万元，基本支出决算金额1000.42万元。首先，预算刚性不够，预算的计划性、科学性不强，资金使用缺乏预见性，削弱了预算的约束控制力。其次，预算编制工作有待细化。部门预算的编制一般根据当年财政状况、上年收支、预算单位自身的特点和业务进行核定，没有细化到具体项目，预算支出达不到逐笔进行核定的要求。</w:t>
      </w:r>
    </w:p>
    <w:p>
      <w:pPr>
        <w:pStyle w:val="2"/>
        <w:spacing w:line="360" w:lineRule="auto"/>
      </w:pPr>
      <w:bookmarkStart w:id="24" w:name="_Toc2466"/>
      <w:r>
        <w:rPr>
          <w:rFonts w:hint="eastAsia"/>
        </w:rPr>
        <w:t>七、改进措施和有关建议</w:t>
      </w:r>
      <w:bookmarkEnd w:id="24"/>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napToGrid w:val="0"/>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针对上述存在的问题及本单位整体支出管理工作的需要，拟实施的改进措施如下：</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napToGrid w:val="0"/>
        <w:spacing w:line="360" w:lineRule="auto"/>
        <w:ind w:firstLine="640" w:firstLineChars="200"/>
        <w:rPr>
          <w:rFonts w:ascii="仿宋" w:hAnsi="仿宋" w:eastAsia="仿宋" w:cs="仿宋"/>
          <w:sz w:val="32"/>
          <w:szCs w:val="32"/>
        </w:rPr>
      </w:pPr>
      <w:r>
        <w:rPr>
          <w:rFonts w:ascii="仿宋" w:hAnsi="仿宋" w:eastAsia="仿宋" w:cs="仿宋"/>
          <w:sz w:val="32"/>
          <w:szCs w:val="32"/>
        </w:rPr>
        <w:t>1</w:t>
      </w:r>
      <w:r>
        <w:rPr>
          <w:rFonts w:hint="eastAsia" w:ascii="仿宋" w:hAnsi="仿宋" w:eastAsia="仿宋" w:cs="仿宋"/>
          <w:sz w:val="32"/>
          <w:szCs w:val="32"/>
        </w:rPr>
        <w:t>、遵循预算管理办法，对于年度无法预计的临时追加的相关工作所需费用，按照预算调整追加程序，逐级申报报批；对结余资金需调整用途的同样按照预算调整追加程序逐级申报报批，做到资金支付，预算先行，确保资金使用按照预算项目和使用用途执行，杜绝费用项目之间调剂使用现象的发生。</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napToGrid w:val="0"/>
        <w:spacing w:line="360" w:lineRule="auto"/>
        <w:ind w:firstLine="640" w:firstLineChars="200"/>
        <w:rPr>
          <w:rFonts w:ascii="仿宋" w:hAnsi="仿宋" w:eastAsia="仿宋" w:cs="仿宋"/>
          <w:sz w:val="32"/>
          <w:szCs w:val="32"/>
        </w:rPr>
      </w:pPr>
      <w:r>
        <w:rPr>
          <w:rFonts w:ascii="仿宋" w:hAnsi="仿宋" w:eastAsia="仿宋" w:cs="仿宋"/>
          <w:sz w:val="32"/>
          <w:szCs w:val="32"/>
        </w:rPr>
        <w:t>2</w:t>
      </w:r>
      <w:r>
        <w:rPr>
          <w:rFonts w:hint="eastAsia" w:ascii="仿宋" w:hAnsi="仿宋" w:eastAsia="仿宋" w:cs="仿宋"/>
          <w:sz w:val="32"/>
          <w:szCs w:val="32"/>
        </w:rPr>
        <w:t>、细化预算编制，进一步加强本单位内部机构各处室的预算管理意识，严格按照预算编制的相关制度和要求，公用经费根据单位的年度工作重点和项目专项工作规划，本着“勤俭节约、保障运转”的原则进行预算的编制；编制范围尽可能的全面，不漏项；在预算编制时首先需满足固定性的、相对刚性的费用支出项目，尽量压缩变动性的、有控制空间的费用项目；杜绝预算编制粗放、拍脑袋现象的发生，进一步提高预算编制的科学性、合理性、严谨性和可控性。</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napToGrid w:val="0"/>
        <w:spacing w:line="360" w:lineRule="auto"/>
        <w:ind w:firstLine="640" w:firstLineChars="200"/>
        <w:rPr>
          <w:rFonts w:ascii="仿宋" w:hAnsi="仿宋" w:eastAsia="仿宋" w:cs="仿宋"/>
          <w:sz w:val="32"/>
          <w:szCs w:val="32"/>
        </w:rPr>
      </w:pPr>
      <w:r>
        <w:rPr>
          <w:rFonts w:ascii="仿宋" w:hAnsi="仿宋" w:eastAsia="仿宋" w:cs="仿宋"/>
          <w:sz w:val="32"/>
          <w:szCs w:val="32"/>
        </w:rPr>
        <w:t>3</w:t>
      </w:r>
      <w:r>
        <w:rPr>
          <w:rFonts w:hint="eastAsia" w:ascii="仿宋" w:hAnsi="仿宋" w:eastAsia="仿宋" w:cs="仿宋"/>
          <w:sz w:val="32"/>
          <w:szCs w:val="32"/>
        </w:rPr>
        <w:t>、预算财务分析常态化。定期做好支出预算财务分析，及时对费用预算执行情况进行通报和预警，定期对预算执行情况进行自查，做好部门整体支出预算评价工作。</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snapToGrid w:val="0"/>
        <w:spacing w:line="360" w:lineRule="auto"/>
        <w:ind w:firstLine="640" w:firstLineChars="200"/>
        <w:rPr>
          <w:rFonts w:ascii="仿宋" w:hAnsi="仿宋" w:eastAsia="仿宋" w:cs="仿宋"/>
          <w:sz w:val="32"/>
          <w:szCs w:val="32"/>
        </w:rPr>
      </w:pPr>
      <w:r>
        <w:rPr>
          <w:rFonts w:ascii="仿宋" w:hAnsi="仿宋" w:eastAsia="仿宋" w:cs="仿宋"/>
          <w:sz w:val="32"/>
          <w:szCs w:val="32"/>
        </w:rPr>
        <w:t>4</w:t>
      </w:r>
      <w:r>
        <w:rPr>
          <w:rFonts w:hint="eastAsia" w:ascii="仿宋" w:hAnsi="仿宋" w:eastAsia="仿宋" w:cs="仿宋"/>
          <w:sz w:val="32"/>
          <w:szCs w:val="32"/>
        </w:rPr>
        <w:t>、加强财务核算工作，提高财务的精细化管理，确保财务核算的真实、及时、准确、完整。</w:t>
      </w:r>
    </w:p>
    <w:p>
      <w:pPr>
        <w:spacing w:line="480" w:lineRule="exact"/>
        <w:ind w:right="280" w:firstLine="642" w:firstLineChars="200"/>
        <w:jc w:val="right"/>
        <w:rPr>
          <w:rFonts w:ascii="仿宋" w:hAnsi="仿宋" w:eastAsia="仿宋" w:cs="仿宋"/>
          <w:b/>
          <w:bCs/>
          <w:sz w:val="32"/>
          <w:szCs w:val="32"/>
        </w:rPr>
      </w:pPr>
    </w:p>
    <w:p>
      <w:pPr>
        <w:spacing w:line="480" w:lineRule="exact"/>
        <w:ind w:right="280" w:firstLine="642" w:firstLineChars="200"/>
        <w:jc w:val="right"/>
        <w:rPr>
          <w:rFonts w:ascii="仿宋" w:hAnsi="仿宋" w:eastAsia="仿宋" w:cs="仿宋"/>
          <w:b/>
          <w:bCs/>
          <w:sz w:val="32"/>
          <w:szCs w:val="32"/>
        </w:rPr>
      </w:pPr>
    </w:p>
    <w:p>
      <w:pPr>
        <w:spacing w:line="480" w:lineRule="exact"/>
        <w:ind w:right="280" w:firstLine="642" w:firstLineChars="200"/>
        <w:jc w:val="right"/>
        <w:rPr>
          <w:rFonts w:ascii="仿宋" w:hAnsi="仿宋" w:eastAsia="仿宋" w:cs="仿宋"/>
          <w:b/>
          <w:bCs/>
          <w:sz w:val="32"/>
          <w:szCs w:val="32"/>
        </w:rPr>
      </w:pPr>
    </w:p>
    <w:p>
      <w:pPr>
        <w:spacing w:line="480" w:lineRule="exact"/>
        <w:ind w:right="280" w:firstLine="642" w:firstLineChars="200"/>
        <w:jc w:val="right"/>
        <w:rPr>
          <w:rFonts w:ascii="仿宋" w:hAnsi="仿宋" w:eastAsia="仿宋" w:cs="仿宋"/>
          <w:b/>
          <w:bCs/>
          <w:sz w:val="32"/>
          <w:szCs w:val="32"/>
        </w:rPr>
      </w:pPr>
    </w:p>
    <w:p>
      <w:pPr>
        <w:spacing w:line="480" w:lineRule="exact"/>
        <w:ind w:right="280" w:firstLine="642" w:firstLineChars="200"/>
        <w:jc w:val="right"/>
        <w:rPr>
          <w:rFonts w:ascii="仿宋" w:hAnsi="仿宋" w:eastAsia="仿宋" w:cs="仿宋"/>
          <w:b/>
          <w:bCs/>
          <w:sz w:val="32"/>
          <w:szCs w:val="32"/>
        </w:rPr>
      </w:pPr>
    </w:p>
    <w:p>
      <w:pPr>
        <w:spacing w:line="480" w:lineRule="exact"/>
        <w:ind w:right="280" w:firstLine="642" w:firstLineChars="200"/>
        <w:jc w:val="center"/>
        <w:rPr>
          <w:rFonts w:ascii="仿宋" w:hAnsi="仿宋" w:eastAsia="仿宋" w:cs="仿宋"/>
          <w:b/>
          <w:bCs/>
          <w:sz w:val="32"/>
          <w:szCs w:val="32"/>
        </w:rPr>
      </w:pP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长沙市工商业联合会</w:t>
      </w:r>
    </w:p>
    <w:p>
      <w:pPr>
        <w:wordWrap w:val="0"/>
        <w:spacing w:line="480" w:lineRule="exact"/>
        <w:ind w:right="560" w:firstLine="642" w:firstLineChars="200"/>
        <w:jc w:val="right"/>
        <w:rPr>
          <w:rFonts w:ascii="仿宋" w:hAnsi="仿宋" w:eastAsia="仿宋" w:cs="仿宋"/>
          <w:b/>
          <w:bCs/>
          <w:sz w:val="32"/>
          <w:szCs w:val="32"/>
        </w:rPr>
      </w:pP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二零二零年四月三日</w:t>
      </w:r>
    </w:p>
    <w:p>
      <w:pPr>
        <w:spacing w:line="480" w:lineRule="exact"/>
        <w:ind w:right="560" w:firstLine="642" w:firstLineChars="200"/>
        <w:jc w:val="right"/>
        <w:rPr>
          <w:rFonts w:ascii="仿宋" w:hAnsi="仿宋" w:eastAsia="仿宋" w:cs="仿宋"/>
          <w:b/>
          <w:bCs/>
          <w:sz w:val="32"/>
          <w:szCs w:val="32"/>
        </w:rPr>
      </w:pPr>
    </w:p>
    <w:p>
      <w:pPr>
        <w:spacing w:line="480" w:lineRule="exact"/>
        <w:ind w:right="560" w:firstLine="642" w:firstLineChars="200"/>
        <w:jc w:val="right"/>
        <w:rPr>
          <w:rFonts w:ascii="仿宋" w:hAnsi="仿宋" w:eastAsia="仿宋" w:cs="仿宋"/>
          <w:b/>
          <w:bCs/>
          <w:sz w:val="32"/>
          <w:szCs w:val="32"/>
        </w:rPr>
      </w:pPr>
    </w:p>
    <w:p>
      <w:pPr>
        <w:spacing w:line="480" w:lineRule="exact"/>
        <w:ind w:right="560" w:firstLine="642" w:firstLineChars="200"/>
        <w:jc w:val="right"/>
        <w:rPr>
          <w:rFonts w:ascii="仿宋" w:hAnsi="仿宋" w:eastAsia="仿宋" w:cs="仿宋"/>
          <w:b/>
          <w:bCs/>
          <w:sz w:val="32"/>
          <w:szCs w:val="32"/>
        </w:rPr>
      </w:pPr>
    </w:p>
    <w:p>
      <w:pPr>
        <w:spacing w:line="480" w:lineRule="exact"/>
        <w:ind w:right="560" w:firstLine="642" w:firstLineChars="200"/>
        <w:jc w:val="right"/>
        <w:rPr>
          <w:rFonts w:ascii="仿宋" w:hAnsi="仿宋" w:eastAsia="仿宋" w:cs="仿宋"/>
          <w:b/>
          <w:bCs/>
          <w:sz w:val="32"/>
          <w:szCs w:val="32"/>
        </w:rPr>
      </w:pPr>
    </w:p>
    <w:p>
      <w:pPr>
        <w:spacing w:line="480" w:lineRule="exact"/>
        <w:ind w:right="560" w:firstLine="642" w:firstLineChars="200"/>
        <w:jc w:val="right"/>
        <w:rPr>
          <w:rFonts w:ascii="仿宋" w:hAnsi="仿宋" w:eastAsia="仿宋" w:cs="仿宋"/>
          <w:b/>
          <w:bCs/>
          <w:sz w:val="32"/>
          <w:szCs w:val="32"/>
        </w:rPr>
      </w:pPr>
    </w:p>
    <w:p>
      <w:pPr>
        <w:spacing w:line="480" w:lineRule="exact"/>
        <w:ind w:right="560" w:firstLine="642" w:firstLineChars="200"/>
        <w:jc w:val="right"/>
        <w:rPr>
          <w:rFonts w:ascii="仿宋" w:hAnsi="仿宋" w:eastAsia="仿宋" w:cs="仿宋"/>
          <w:b/>
          <w:bCs/>
          <w:sz w:val="32"/>
          <w:szCs w:val="32"/>
        </w:rPr>
      </w:pPr>
    </w:p>
    <w:p>
      <w:pPr>
        <w:spacing w:line="480" w:lineRule="exact"/>
        <w:ind w:right="560" w:firstLine="642" w:firstLineChars="200"/>
        <w:jc w:val="right"/>
        <w:rPr>
          <w:rFonts w:ascii="仿宋" w:hAnsi="仿宋" w:eastAsia="仿宋" w:cs="仿宋"/>
          <w:b/>
          <w:bCs/>
          <w:sz w:val="32"/>
          <w:szCs w:val="32"/>
        </w:rPr>
      </w:pPr>
    </w:p>
    <w:p>
      <w:pPr>
        <w:spacing w:line="480" w:lineRule="exact"/>
        <w:ind w:right="560" w:firstLine="642" w:firstLineChars="200"/>
        <w:jc w:val="right"/>
        <w:rPr>
          <w:rFonts w:ascii="仿宋" w:hAnsi="仿宋" w:eastAsia="仿宋" w:cs="仿宋"/>
          <w:b/>
          <w:bCs/>
          <w:sz w:val="32"/>
          <w:szCs w:val="32"/>
        </w:rPr>
      </w:pPr>
    </w:p>
    <w:p>
      <w:pPr>
        <w:spacing w:line="480" w:lineRule="exact"/>
        <w:ind w:right="560" w:firstLine="642" w:firstLineChars="200"/>
        <w:jc w:val="right"/>
        <w:rPr>
          <w:rFonts w:ascii="仿宋" w:hAnsi="仿宋" w:eastAsia="仿宋" w:cs="仿宋"/>
          <w:b/>
          <w:bCs/>
          <w:sz w:val="32"/>
          <w:szCs w:val="32"/>
        </w:rPr>
      </w:pPr>
    </w:p>
    <w:p>
      <w:pPr>
        <w:spacing w:line="480" w:lineRule="exact"/>
        <w:ind w:right="560" w:firstLine="642" w:firstLineChars="200"/>
        <w:jc w:val="right"/>
        <w:rPr>
          <w:rFonts w:ascii="仿宋" w:hAnsi="仿宋" w:eastAsia="仿宋" w:cs="仿宋"/>
          <w:b/>
          <w:bCs/>
          <w:sz w:val="32"/>
          <w:szCs w:val="32"/>
        </w:rPr>
      </w:pPr>
    </w:p>
    <w:p>
      <w:pPr>
        <w:spacing w:line="480" w:lineRule="exact"/>
        <w:ind w:right="560" w:firstLine="642" w:firstLineChars="200"/>
        <w:jc w:val="right"/>
        <w:rPr>
          <w:rFonts w:ascii="仿宋" w:hAnsi="仿宋" w:eastAsia="仿宋" w:cs="仿宋"/>
          <w:b/>
          <w:bCs/>
          <w:sz w:val="32"/>
          <w:szCs w:val="32"/>
        </w:rPr>
      </w:pPr>
    </w:p>
    <w:p>
      <w:pPr>
        <w:spacing w:line="480" w:lineRule="exact"/>
        <w:ind w:right="560" w:firstLine="642" w:firstLineChars="200"/>
        <w:jc w:val="right"/>
        <w:rPr>
          <w:rFonts w:ascii="仿宋" w:hAnsi="仿宋" w:eastAsia="仿宋" w:cs="仿宋"/>
          <w:b/>
          <w:bCs/>
          <w:sz w:val="32"/>
          <w:szCs w:val="32"/>
        </w:rPr>
      </w:pPr>
    </w:p>
    <w:p>
      <w:pPr>
        <w:spacing w:line="480" w:lineRule="exact"/>
        <w:ind w:right="560" w:firstLine="642" w:firstLineChars="200"/>
        <w:jc w:val="right"/>
        <w:rPr>
          <w:rFonts w:ascii="仿宋" w:hAnsi="仿宋" w:eastAsia="仿宋" w:cs="仿宋"/>
          <w:b/>
          <w:bCs/>
          <w:sz w:val="32"/>
          <w:szCs w:val="32"/>
        </w:rPr>
      </w:pPr>
    </w:p>
    <w:p>
      <w:pPr>
        <w:spacing w:line="480" w:lineRule="exact"/>
        <w:ind w:right="560" w:firstLine="642" w:firstLineChars="200"/>
        <w:jc w:val="right"/>
        <w:rPr>
          <w:rFonts w:ascii="仿宋" w:hAnsi="仿宋" w:eastAsia="仿宋" w:cs="仿宋"/>
          <w:b/>
          <w:bCs/>
          <w:sz w:val="32"/>
          <w:szCs w:val="32"/>
        </w:rPr>
      </w:pPr>
    </w:p>
    <w:p>
      <w:pPr>
        <w:pStyle w:val="3"/>
        <w:rPr>
          <w:rFonts w:hint="eastAsia" w:ascii="仿宋" w:hAnsi="仿宋" w:eastAsia="仿宋" w:cs="仿宋"/>
        </w:rPr>
      </w:pPr>
      <w:bookmarkStart w:id="25" w:name="_Toc27087"/>
    </w:p>
    <w:p>
      <w:pPr>
        <w:pStyle w:val="3"/>
        <w:rPr>
          <w:rFonts w:ascii="仿宋" w:hAnsi="仿宋" w:eastAsia="仿宋" w:cs="仿宋"/>
        </w:rPr>
      </w:pPr>
      <w:r>
        <w:rPr>
          <w:rFonts w:hint="eastAsia" w:ascii="仿宋" w:hAnsi="仿宋" w:eastAsia="仿宋" w:cs="仿宋"/>
        </w:rPr>
        <w:t>附件1部门整体支出绩效评价基础数据表</w:t>
      </w:r>
      <w:bookmarkEnd w:id="25"/>
    </w:p>
    <w:tbl>
      <w:tblPr>
        <w:tblStyle w:val="14"/>
        <w:tblW w:w="8522" w:type="dxa"/>
        <w:tblInd w:w="0" w:type="dxa"/>
        <w:tblLayout w:type="fixed"/>
        <w:tblCellMar>
          <w:top w:w="0" w:type="dxa"/>
          <w:left w:w="108" w:type="dxa"/>
          <w:bottom w:w="0" w:type="dxa"/>
          <w:right w:w="108" w:type="dxa"/>
        </w:tblCellMar>
      </w:tblPr>
      <w:tblGrid>
        <w:gridCol w:w="2893"/>
        <w:gridCol w:w="940"/>
        <w:gridCol w:w="939"/>
        <w:gridCol w:w="797"/>
        <w:gridCol w:w="972"/>
        <w:gridCol w:w="960"/>
        <w:gridCol w:w="1021"/>
      </w:tblGrid>
      <w:tr>
        <w:tblPrEx>
          <w:tblCellMar>
            <w:top w:w="0" w:type="dxa"/>
            <w:left w:w="108" w:type="dxa"/>
            <w:bottom w:w="0" w:type="dxa"/>
            <w:right w:w="108" w:type="dxa"/>
          </w:tblCellMar>
        </w:tblPrEx>
        <w:trPr>
          <w:trHeight w:val="450" w:hRule="atLeast"/>
        </w:trPr>
        <w:tc>
          <w:tcPr>
            <w:tcW w:w="8522" w:type="dxa"/>
            <w:gridSpan w:val="7"/>
            <w:tcBorders>
              <w:top w:val="nil"/>
              <w:left w:val="nil"/>
              <w:bottom w:val="nil"/>
              <w:right w:val="nil"/>
            </w:tcBorders>
            <w:noWrap/>
            <w:vAlign w:val="center"/>
          </w:tcPr>
          <w:p>
            <w:pPr>
              <w:widowControl/>
              <w:ind w:firstLine="1440" w:firstLineChars="400"/>
              <w:rPr>
                <w:rFonts w:ascii="仿宋" w:hAnsi="仿宋" w:eastAsia="仿宋" w:cs="仿宋"/>
                <w:color w:val="000000"/>
                <w:kern w:val="0"/>
                <w:sz w:val="36"/>
                <w:szCs w:val="36"/>
              </w:rPr>
            </w:pPr>
            <w:r>
              <w:rPr>
                <w:rFonts w:hint="eastAsia" w:ascii="仿宋" w:hAnsi="仿宋" w:eastAsia="仿宋" w:cs="仿宋"/>
                <w:color w:val="000000"/>
                <w:kern w:val="0"/>
                <w:sz w:val="36"/>
                <w:szCs w:val="36"/>
              </w:rPr>
              <w:t>部门整体支出绩效评价基础数据表</w:t>
            </w:r>
          </w:p>
        </w:tc>
      </w:tr>
      <w:tr>
        <w:tblPrEx>
          <w:tblCellMar>
            <w:top w:w="0" w:type="dxa"/>
            <w:left w:w="108" w:type="dxa"/>
            <w:bottom w:w="0" w:type="dxa"/>
            <w:right w:w="108" w:type="dxa"/>
          </w:tblCellMar>
        </w:tblPrEx>
        <w:trPr>
          <w:trHeight w:val="300" w:hRule="atLeast"/>
        </w:trPr>
        <w:tc>
          <w:tcPr>
            <w:tcW w:w="3833" w:type="dxa"/>
            <w:gridSpan w:val="2"/>
            <w:tcBorders>
              <w:top w:val="nil"/>
              <w:left w:val="nil"/>
              <w:bottom w:val="nil"/>
              <w:right w:val="nil"/>
            </w:tcBorders>
            <w:noWrap/>
            <w:vAlign w:val="center"/>
          </w:tcPr>
          <w:p>
            <w:pPr>
              <w:widowControl/>
              <w:jc w:val="left"/>
              <w:rPr>
                <w:rFonts w:ascii="仿宋" w:hAnsi="仿宋" w:eastAsia="仿宋" w:cs="仿宋"/>
                <w:color w:val="000000"/>
                <w:kern w:val="0"/>
                <w:sz w:val="24"/>
              </w:rPr>
            </w:pPr>
            <w:r>
              <w:rPr>
                <w:rFonts w:hint="eastAsia" w:ascii="仿宋" w:hAnsi="仿宋" w:eastAsia="仿宋" w:cs="仿宋"/>
                <w:color w:val="000000"/>
                <w:kern w:val="0"/>
                <w:sz w:val="24"/>
              </w:rPr>
              <w:t>填报单位：长沙市工商业联合会</w:t>
            </w:r>
          </w:p>
        </w:tc>
        <w:tc>
          <w:tcPr>
            <w:tcW w:w="939" w:type="dxa"/>
            <w:tcBorders>
              <w:top w:val="nil"/>
              <w:left w:val="nil"/>
              <w:bottom w:val="nil"/>
              <w:right w:val="nil"/>
            </w:tcBorders>
            <w:noWrap/>
            <w:vAlign w:val="center"/>
          </w:tcPr>
          <w:p>
            <w:pPr>
              <w:widowControl/>
              <w:jc w:val="left"/>
              <w:rPr>
                <w:rFonts w:ascii="仿宋" w:hAnsi="仿宋" w:eastAsia="仿宋" w:cs="仿宋"/>
                <w:color w:val="000000"/>
                <w:kern w:val="0"/>
                <w:sz w:val="22"/>
              </w:rPr>
            </w:pPr>
          </w:p>
        </w:tc>
        <w:tc>
          <w:tcPr>
            <w:tcW w:w="797" w:type="dxa"/>
            <w:tcBorders>
              <w:top w:val="nil"/>
              <w:left w:val="nil"/>
              <w:bottom w:val="nil"/>
              <w:right w:val="nil"/>
            </w:tcBorders>
            <w:noWrap/>
            <w:vAlign w:val="center"/>
          </w:tcPr>
          <w:p>
            <w:pPr>
              <w:widowControl/>
              <w:jc w:val="left"/>
              <w:rPr>
                <w:rFonts w:ascii="仿宋" w:hAnsi="仿宋" w:eastAsia="仿宋" w:cs="仿宋"/>
                <w:color w:val="000000"/>
                <w:kern w:val="0"/>
                <w:sz w:val="22"/>
              </w:rPr>
            </w:pPr>
          </w:p>
        </w:tc>
        <w:tc>
          <w:tcPr>
            <w:tcW w:w="972" w:type="dxa"/>
            <w:tcBorders>
              <w:top w:val="nil"/>
              <w:left w:val="nil"/>
              <w:bottom w:val="nil"/>
              <w:right w:val="nil"/>
            </w:tcBorders>
            <w:noWrap/>
            <w:vAlign w:val="center"/>
          </w:tcPr>
          <w:p>
            <w:pPr>
              <w:widowControl/>
              <w:jc w:val="left"/>
              <w:rPr>
                <w:rFonts w:ascii="仿宋" w:hAnsi="仿宋" w:eastAsia="仿宋" w:cs="仿宋"/>
                <w:color w:val="000000"/>
                <w:kern w:val="0"/>
                <w:sz w:val="22"/>
              </w:rPr>
            </w:pPr>
          </w:p>
        </w:tc>
        <w:tc>
          <w:tcPr>
            <w:tcW w:w="960" w:type="dxa"/>
            <w:tcBorders>
              <w:top w:val="nil"/>
              <w:left w:val="nil"/>
              <w:bottom w:val="nil"/>
              <w:right w:val="nil"/>
            </w:tcBorders>
            <w:noWrap/>
            <w:vAlign w:val="center"/>
          </w:tcPr>
          <w:p>
            <w:pPr>
              <w:widowControl/>
              <w:jc w:val="left"/>
              <w:rPr>
                <w:rFonts w:ascii="仿宋" w:hAnsi="仿宋" w:eastAsia="仿宋" w:cs="仿宋"/>
                <w:color w:val="000000"/>
                <w:kern w:val="0"/>
                <w:sz w:val="22"/>
              </w:rPr>
            </w:pPr>
          </w:p>
        </w:tc>
        <w:tc>
          <w:tcPr>
            <w:tcW w:w="1021" w:type="dxa"/>
            <w:tcBorders>
              <w:top w:val="nil"/>
              <w:left w:val="nil"/>
              <w:bottom w:val="nil"/>
              <w:right w:val="nil"/>
            </w:tcBorders>
            <w:noWrap/>
            <w:vAlign w:val="center"/>
          </w:tcPr>
          <w:p>
            <w:pPr>
              <w:widowControl/>
              <w:jc w:val="left"/>
              <w:rPr>
                <w:rFonts w:ascii="仿宋" w:hAnsi="仿宋" w:eastAsia="仿宋" w:cs="仿宋"/>
                <w:color w:val="000000"/>
                <w:kern w:val="0"/>
                <w:sz w:val="22"/>
              </w:rPr>
            </w:pPr>
          </w:p>
        </w:tc>
      </w:tr>
      <w:tr>
        <w:tblPrEx>
          <w:tblCellMar>
            <w:top w:w="0" w:type="dxa"/>
            <w:left w:w="108" w:type="dxa"/>
            <w:bottom w:w="0" w:type="dxa"/>
            <w:right w:w="108" w:type="dxa"/>
          </w:tblCellMar>
        </w:tblPrEx>
        <w:trPr>
          <w:trHeight w:val="570" w:hRule="atLeast"/>
        </w:trPr>
        <w:tc>
          <w:tcPr>
            <w:tcW w:w="2893" w:type="dxa"/>
            <w:vMerge w:val="restart"/>
            <w:tcBorders>
              <w:top w:val="single" w:color="auto" w:sz="8" w:space="0"/>
              <w:left w:val="single" w:color="auto" w:sz="8" w:space="0"/>
              <w:bottom w:val="single" w:color="000000" w:sz="8" w:space="0"/>
              <w:right w:val="single" w:color="auto" w:sz="8" w:space="0"/>
            </w:tcBorders>
            <w:vAlign w:val="center"/>
          </w:tcPr>
          <w:p>
            <w:pPr>
              <w:widowControl/>
              <w:jc w:val="center"/>
              <w:rPr>
                <w:rFonts w:ascii="仿宋" w:hAnsi="仿宋" w:eastAsia="仿宋" w:cs="仿宋"/>
                <w:color w:val="000000"/>
                <w:kern w:val="0"/>
                <w:sz w:val="24"/>
              </w:rPr>
            </w:pPr>
            <w:r>
              <w:rPr>
                <w:rFonts w:hint="eastAsia" w:ascii="仿宋" w:hAnsi="仿宋" w:eastAsia="仿宋" w:cs="仿宋"/>
                <w:color w:val="000000"/>
                <w:kern w:val="0"/>
                <w:sz w:val="24"/>
              </w:rPr>
              <w:t>财政供养人员情况</w:t>
            </w:r>
          </w:p>
        </w:tc>
        <w:tc>
          <w:tcPr>
            <w:tcW w:w="1879" w:type="dxa"/>
            <w:gridSpan w:val="2"/>
            <w:tcBorders>
              <w:top w:val="single" w:color="auto" w:sz="8" w:space="0"/>
              <w:left w:val="nil"/>
              <w:bottom w:val="single" w:color="auto" w:sz="8" w:space="0"/>
              <w:right w:val="single" w:color="000000" w:sz="8" w:space="0"/>
            </w:tcBorders>
            <w:vAlign w:val="center"/>
          </w:tcPr>
          <w:p>
            <w:pPr>
              <w:widowControl/>
              <w:jc w:val="center"/>
              <w:rPr>
                <w:rFonts w:ascii="仿宋" w:hAnsi="仿宋" w:eastAsia="仿宋" w:cs="仿宋"/>
                <w:b/>
                <w:bCs/>
                <w:color w:val="000000"/>
                <w:kern w:val="0"/>
                <w:sz w:val="24"/>
              </w:rPr>
            </w:pPr>
            <w:r>
              <w:rPr>
                <w:rFonts w:hint="eastAsia" w:ascii="仿宋" w:hAnsi="仿宋" w:eastAsia="仿宋" w:cs="仿宋"/>
                <w:b/>
                <w:bCs/>
                <w:color w:val="000000"/>
                <w:kern w:val="0"/>
                <w:sz w:val="24"/>
              </w:rPr>
              <w:t>编制数</w:t>
            </w:r>
          </w:p>
        </w:tc>
        <w:tc>
          <w:tcPr>
            <w:tcW w:w="1769" w:type="dxa"/>
            <w:gridSpan w:val="2"/>
            <w:tcBorders>
              <w:top w:val="single" w:color="auto" w:sz="8" w:space="0"/>
              <w:left w:val="nil"/>
              <w:bottom w:val="single" w:color="auto" w:sz="8" w:space="0"/>
              <w:right w:val="single" w:color="000000" w:sz="8" w:space="0"/>
            </w:tcBorders>
            <w:vAlign w:val="center"/>
          </w:tcPr>
          <w:p>
            <w:pPr>
              <w:widowControl/>
              <w:jc w:val="center"/>
              <w:rPr>
                <w:rFonts w:ascii="仿宋" w:hAnsi="仿宋" w:eastAsia="仿宋" w:cs="仿宋"/>
                <w:b/>
                <w:bCs/>
                <w:color w:val="000000"/>
                <w:kern w:val="0"/>
                <w:sz w:val="24"/>
              </w:rPr>
            </w:pPr>
            <w:r>
              <w:rPr>
                <w:rFonts w:hint="eastAsia" w:ascii="仿宋" w:hAnsi="仿宋" w:eastAsia="仿宋" w:cs="仿宋"/>
                <w:b/>
                <w:bCs/>
                <w:color w:val="000000"/>
                <w:kern w:val="0"/>
                <w:sz w:val="24"/>
              </w:rPr>
              <w:t>2019年实际在职人数</w:t>
            </w:r>
          </w:p>
        </w:tc>
        <w:tc>
          <w:tcPr>
            <w:tcW w:w="1981" w:type="dxa"/>
            <w:gridSpan w:val="2"/>
            <w:tcBorders>
              <w:top w:val="single" w:color="auto" w:sz="8" w:space="0"/>
              <w:left w:val="nil"/>
              <w:bottom w:val="single" w:color="auto" w:sz="8" w:space="0"/>
              <w:right w:val="single" w:color="000000" w:sz="8" w:space="0"/>
            </w:tcBorders>
            <w:vAlign w:val="center"/>
          </w:tcPr>
          <w:p>
            <w:pPr>
              <w:widowControl/>
              <w:jc w:val="center"/>
              <w:rPr>
                <w:rFonts w:ascii="仿宋" w:hAnsi="仿宋" w:eastAsia="仿宋" w:cs="仿宋"/>
                <w:b/>
                <w:bCs/>
                <w:color w:val="000000"/>
                <w:kern w:val="0"/>
                <w:sz w:val="24"/>
              </w:rPr>
            </w:pPr>
            <w:r>
              <w:rPr>
                <w:rFonts w:hint="eastAsia" w:ascii="仿宋" w:hAnsi="仿宋" w:eastAsia="仿宋" w:cs="仿宋"/>
                <w:b/>
                <w:bCs/>
                <w:color w:val="000000"/>
                <w:kern w:val="0"/>
                <w:sz w:val="24"/>
              </w:rPr>
              <w:t>控制率</w:t>
            </w:r>
          </w:p>
        </w:tc>
      </w:tr>
      <w:tr>
        <w:trPr>
          <w:trHeight w:val="300" w:hRule="atLeast"/>
        </w:trPr>
        <w:tc>
          <w:tcPr>
            <w:tcW w:w="2893"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仿宋" w:hAnsi="仿宋" w:eastAsia="仿宋" w:cs="仿宋"/>
                <w:color w:val="000000"/>
                <w:kern w:val="0"/>
                <w:sz w:val="24"/>
              </w:rPr>
            </w:pPr>
          </w:p>
        </w:tc>
        <w:tc>
          <w:tcPr>
            <w:tcW w:w="1879" w:type="dxa"/>
            <w:gridSpan w:val="2"/>
            <w:tcBorders>
              <w:top w:val="single" w:color="auto" w:sz="8" w:space="0"/>
              <w:left w:val="nil"/>
              <w:bottom w:val="single" w:color="auto" w:sz="8" w:space="0"/>
              <w:right w:val="single" w:color="000000" w:sz="8" w:space="0"/>
            </w:tcBorders>
            <w:vAlign w:val="center"/>
          </w:tcPr>
          <w:p>
            <w:pPr>
              <w:widowControl/>
              <w:jc w:val="center"/>
              <w:rPr>
                <w:rFonts w:ascii="仿宋" w:hAnsi="仿宋" w:eastAsia="仿宋" w:cs="仿宋"/>
                <w:color w:val="000000"/>
                <w:kern w:val="0"/>
                <w:sz w:val="24"/>
              </w:rPr>
            </w:pPr>
            <w:r>
              <w:rPr>
                <w:rFonts w:ascii="仿宋" w:hAnsi="仿宋" w:eastAsia="仿宋" w:cs="仿宋"/>
                <w:color w:val="000000"/>
                <w:kern w:val="0"/>
                <w:sz w:val="24"/>
              </w:rPr>
              <w:t>3</w:t>
            </w:r>
            <w:r>
              <w:rPr>
                <w:rFonts w:hint="eastAsia" w:ascii="仿宋" w:hAnsi="仿宋" w:eastAsia="仿宋" w:cs="仿宋"/>
                <w:color w:val="000000"/>
                <w:kern w:val="0"/>
                <w:sz w:val="24"/>
              </w:rPr>
              <w:t>5</w:t>
            </w:r>
          </w:p>
        </w:tc>
        <w:tc>
          <w:tcPr>
            <w:tcW w:w="1769" w:type="dxa"/>
            <w:gridSpan w:val="2"/>
            <w:tcBorders>
              <w:top w:val="single" w:color="auto" w:sz="8" w:space="0"/>
              <w:left w:val="nil"/>
              <w:bottom w:val="single" w:color="auto" w:sz="8" w:space="0"/>
              <w:right w:val="single" w:color="000000" w:sz="8" w:space="0"/>
            </w:tcBorders>
            <w:vAlign w:val="center"/>
          </w:tcPr>
          <w:p>
            <w:pPr>
              <w:widowControl/>
              <w:jc w:val="center"/>
              <w:rPr>
                <w:rFonts w:ascii="仿宋" w:hAnsi="仿宋" w:eastAsia="仿宋" w:cs="仿宋"/>
                <w:color w:val="000000"/>
                <w:kern w:val="0"/>
                <w:sz w:val="24"/>
              </w:rPr>
            </w:pPr>
            <w:r>
              <w:rPr>
                <w:rFonts w:ascii="仿宋" w:hAnsi="仿宋" w:eastAsia="仿宋" w:cs="仿宋"/>
                <w:color w:val="000000"/>
                <w:kern w:val="0"/>
                <w:sz w:val="24"/>
              </w:rPr>
              <w:t>3</w:t>
            </w:r>
            <w:r>
              <w:rPr>
                <w:rFonts w:hint="eastAsia" w:ascii="仿宋" w:hAnsi="仿宋" w:eastAsia="仿宋" w:cs="仿宋"/>
                <w:color w:val="000000"/>
                <w:kern w:val="0"/>
                <w:sz w:val="24"/>
              </w:rPr>
              <w:t>4</w:t>
            </w:r>
          </w:p>
        </w:tc>
        <w:tc>
          <w:tcPr>
            <w:tcW w:w="1981" w:type="dxa"/>
            <w:gridSpan w:val="2"/>
            <w:tcBorders>
              <w:top w:val="single" w:color="auto" w:sz="8" w:space="0"/>
              <w:left w:val="nil"/>
              <w:bottom w:val="single" w:color="auto" w:sz="8" w:space="0"/>
              <w:right w:val="single" w:color="000000" w:sz="8" w:space="0"/>
            </w:tcBorders>
            <w:vAlign w:val="center"/>
          </w:tcPr>
          <w:p>
            <w:pPr>
              <w:widowControl/>
              <w:jc w:val="center"/>
              <w:rPr>
                <w:rFonts w:ascii="仿宋" w:hAnsi="仿宋" w:eastAsia="仿宋" w:cs="仿宋"/>
                <w:color w:val="000000"/>
                <w:kern w:val="0"/>
                <w:sz w:val="24"/>
              </w:rPr>
            </w:pPr>
            <w:r>
              <w:rPr>
                <w:rFonts w:ascii="仿宋" w:hAnsi="仿宋" w:eastAsia="仿宋" w:cs="仿宋"/>
                <w:color w:val="000000"/>
                <w:kern w:val="0"/>
                <w:sz w:val="24"/>
              </w:rPr>
              <w:t>9</w:t>
            </w:r>
            <w:r>
              <w:rPr>
                <w:rFonts w:hint="eastAsia" w:ascii="仿宋" w:hAnsi="仿宋" w:eastAsia="仿宋" w:cs="仿宋"/>
                <w:color w:val="000000"/>
                <w:kern w:val="0"/>
                <w:sz w:val="24"/>
              </w:rPr>
              <w:t>7.14</w:t>
            </w:r>
            <w:r>
              <w:rPr>
                <w:rFonts w:ascii="仿宋" w:hAnsi="仿宋" w:eastAsia="仿宋" w:cs="仿宋"/>
                <w:color w:val="000000"/>
                <w:kern w:val="0"/>
                <w:sz w:val="24"/>
              </w:rPr>
              <w:t>%</w:t>
            </w:r>
          </w:p>
        </w:tc>
      </w:tr>
      <w:tr>
        <w:tblPrEx>
          <w:tblCellMar>
            <w:top w:w="0" w:type="dxa"/>
            <w:left w:w="108" w:type="dxa"/>
            <w:bottom w:w="0" w:type="dxa"/>
            <w:right w:w="108" w:type="dxa"/>
          </w:tblCellMar>
        </w:tblPrEx>
        <w:trPr>
          <w:trHeight w:val="300" w:hRule="atLeast"/>
        </w:trPr>
        <w:tc>
          <w:tcPr>
            <w:tcW w:w="2893" w:type="dxa"/>
            <w:tcBorders>
              <w:top w:val="nil"/>
              <w:left w:val="single" w:color="auto" w:sz="8" w:space="0"/>
              <w:bottom w:val="single" w:color="auto" w:sz="8" w:space="0"/>
              <w:right w:val="single" w:color="auto" w:sz="8" w:space="0"/>
            </w:tcBorders>
            <w:vAlign w:val="center"/>
          </w:tcPr>
          <w:p>
            <w:pPr>
              <w:widowControl/>
              <w:jc w:val="center"/>
              <w:rPr>
                <w:rFonts w:ascii="仿宋" w:hAnsi="仿宋" w:eastAsia="仿宋" w:cs="仿宋"/>
                <w:color w:val="000000"/>
                <w:kern w:val="0"/>
                <w:sz w:val="24"/>
              </w:rPr>
            </w:pPr>
            <w:r>
              <w:rPr>
                <w:rFonts w:hint="eastAsia" w:ascii="仿宋" w:hAnsi="仿宋" w:eastAsia="仿宋" w:cs="仿宋"/>
                <w:color w:val="000000"/>
                <w:kern w:val="0"/>
                <w:sz w:val="24"/>
              </w:rPr>
              <w:t>经费控制情况</w:t>
            </w:r>
          </w:p>
        </w:tc>
        <w:tc>
          <w:tcPr>
            <w:tcW w:w="1879" w:type="dxa"/>
            <w:gridSpan w:val="2"/>
            <w:tcBorders>
              <w:top w:val="single" w:color="auto" w:sz="8" w:space="0"/>
              <w:left w:val="nil"/>
              <w:bottom w:val="single" w:color="auto" w:sz="8" w:space="0"/>
              <w:right w:val="single" w:color="000000" w:sz="8" w:space="0"/>
            </w:tcBorders>
            <w:vAlign w:val="center"/>
          </w:tcPr>
          <w:p>
            <w:pPr>
              <w:widowControl/>
              <w:jc w:val="center"/>
              <w:rPr>
                <w:rFonts w:ascii="仿宋" w:hAnsi="仿宋" w:eastAsia="仿宋" w:cs="仿宋"/>
                <w:b/>
                <w:bCs/>
                <w:color w:val="000000"/>
                <w:kern w:val="0"/>
                <w:sz w:val="24"/>
              </w:rPr>
            </w:pPr>
            <w:r>
              <w:rPr>
                <w:rFonts w:ascii="仿宋" w:hAnsi="仿宋" w:eastAsia="仿宋" w:cs="仿宋"/>
                <w:b/>
                <w:bCs/>
                <w:color w:val="000000"/>
                <w:kern w:val="0"/>
                <w:sz w:val="24"/>
              </w:rPr>
              <w:t>201</w:t>
            </w:r>
            <w:r>
              <w:rPr>
                <w:rFonts w:hint="eastAsia" w:ascii="仿宋" w:hAnsi="仿宋" w:eastAsia="仿宋" w:cs="仿宋"/>
                <w:b/>
                <w:bCs/>
                <w:color w:val="000000"/>
                <w:kern w:val="0"/>
                <w:sz w:val="24"/>
              </w:rPr>
              <w:t>8年决算数</w:t>
            </w:r>
          </w:p>
        </w:tc>
        <w:tc>
          <w:tcPr>
            <w:tcW w:w="1769" w:type="dxa"/>
            <w:gridSpan w:val="2"/>
            <w:tcBorders>
              <w:top w:val="single" w:color="auto" w:sz="8" w:space="0"/>
              <w:left w:val="nil"/>
              <w:bottom w:val="single" w:color="auto" w:sz="8" w:space="0"/>
              <w:right w:val="single" w:color="000000" w:sz="8" w:space="0"/>
            </w:tcBorders>
            <w:vAlign w:val="center"/>
          </w:tcPr>
          <w:p>
            <w:pPr>
              <w:widowControl/>
              <w:jc w:val="center"/>
              <w:rPr>
                <w:rFonts w:ascii="仿宋" w:hAnsi="仿宋" w:eastAsia="仿宋" w:cs="仿宋"/>
                <w:b/>
                <w:bCs/>
                <w:color w:val="000000"/>
                <w:kern w:val="0"/>
                <w:sz w:val="24"/>
              </w:rPr>
            </w:pPr>
            <w:r>
              <w:rPr>
                <w:rFonts w:hint="eastAsia" w:ascii="仿宋" w:hAnsi="仿宋" w:eastAsia="仿宋" w:cs="仿宋"/>
                <w:b/>
                <w:bCs/>
                <w:color w:val="000000"/>
                <w:kern w:val="0"/>
                <w:sz w:val="24"/>
              </w:rPr>
              <w:t>2019年预算数</w:t>
            </w:r>
          </w:p>
        </w:tc>
        <w:tc>
          <w:tcPr>
            <w:tcW w:w="1981" w:type="dxa"/>
            <w:gridSpan w:val="2"/>
            <w:tcBorders>
              <w:top w:val="single" w:color="auto" w:sz="8" w:space="0"/>
              <w:left w:val="nil"/>
              <w:bottom w:val="single" w:color="auto" w:sz="8" w:space="0"/>
              <w:right w:val="single" w:color="000000" w:sz="8" w:space="0"/>
            </w:tcBorders>
            <w:vAlign w:val="center"/>
          </w:tcPr>
          <w:p>
            <w:pPr>
              <w:widowControl/>
              <w:jc w:val="center"/>
              <w:rPr>
                <w:rFonts w:ascii="仿宋" w:hAnsi="仿宋" w:eastAsia="仿宋" w:cs="仿宋"/>
                <w:b/>
                <w:bCs/>
                <w:color w:val="000000"/>
                <w:kern w:val="0"/>
                <w:sz w:val="24"/>
              </w:rPr>
            </w:pPr>
            <w:r>
              <w:rPr>
                <w:rFonts w:hint="eastAsia" w:ascii="仿宋" w:hAnsi="仿宋" w:eastAsia="仿宋" w:cs="仿宋"/>
                <w:b/>
                <w:bCs/>
                <w:color w:val="000000"/>
                <w:kern w:val="0"/>
                <w:sz w:val="24"/>
              </w:rPr>
              <w:t>2019年决算数</w:t>
            </w:r>
          </w:p>
        </w:tc>
      </w:tr>
      <w:tr>
        <w:tblPrEx>
          <w:tblCellMar>
            <w:top w:w="0" w:type="dxa"/>
            <w:left w:w="108" w:type="dxa"/>
            <w:bottom w:w="0" w:type="dxa"/>
            <w:right w:w="108" w:type="dxa"/>
          </w:tblCellMar>
        </w:tblPrEx>
        <w:trPr>
          <w:trHeight w:val="390" w:hRule="atLeast"/>
        </w:trPr>
        <w:tc>
          <w:tcPr>
            <w:tcW w:w="2893" w:type="dxa"/>
            <w:tcBorders>
              <w:top w:val="nil"/>
              <w:left w:val="single" w:color="auto" w:sz="8" w:space="0"/>
              <w:bottom w:val="single" w:color="auto" w:sz="8" w:space="0"/>
              <w:right w:val="single" w:color="auto" w:sz="8" w:space="0"/>
            </w:tcBorders>
            <w:vAlign w:val="center"/>
          </w:tcPr>
          <w:p>
            <w:pPr>
              <w:widowControl/>
              <w:jc w:val="left"/>
              <w:rPr>
                <w:rFonts w:ascii="仿宋" w:hAnsi="仿宋" w:eastAsia="仿宋" w:cs="仿宋"/>
                <w:color w:val="000000"/>
                <w:kern w:val="0"/>
                <w:sz w:val="24"/>
              </w:rPr>
            </w:pPr>
            <w:r>
              <w:rPr>
                <w:rFonts w:hint="eastAsia" w:ascii="仿宋" w:hAnsi="仿宋" w:eastAsia="仿宋" w:cs="仿宋"/>
                <w:color w:val="000000"/>
                <w:kern w:val="0"/>
                <w:sz w:val="24"/>
              </w:rPr>
              <w:t>三公经费</w:t>
            </w:r>
          </w:p>
        </w:tc>
        <w:tc>
          <w:tcPr>
            <w:tcW w:w="1879" w:type="dxa"/>
            <w:gridSpan w:val="2"/>
            <w:tcBorders>
              <w:top w:val="single" w:color="auto" w:sz="8" w:space="0"/>
              <w:left w:val="nil"/>
              <w:bottom w:val="single" w:color="auto" w:sz="8" w:space="0"/>
              <w:right w:val="single" w:color="000000" w:sz="8" w:space="0"/>
            </w:tcBorders>
            <w:vAlign w:val="center"/>
          </w:tcPr>
          <w:p>
            <w:pPr>
              <w:widowControl/>
              <w:jc w:val="right"/>
              <w:rPr>
                <w:rFonts w:ascii="仿宋" w:hAnsi="仿宋" w:eastAsia="仿宋" w:cs="仿宋"/>
                <w:color w:val="000000"/>
                <w:kern w:val="0"/>
                <w:sz w:val="24"/>
              </w:rPr>
            </w:pPr>
            <w:r>
              <w:rPr>
                <w:rFonts w:ascii="仿宋" w:hAnsi="仿宋" w:eastAsia="仿宋" w:cs="仿宋"/>
                <w:kern w:val="0"/>
                <w:sz w:val="24"/>
              </w:rPr>
              <w:t>202,747.10</w:t>
            </w:r>
          </w:p>
        </w:tc>
        <w:tc>
          <w:tcPr>
            <w:tcW w:w="1769" w:type="dxa"/>
            <w:gridSpan w:val="2"/>
            <w:tcBorders>
              <w:top w:val="single" w:color="auto" w:sz="8" w:space="0"/>
              <w:left w:val="nil"/>
              <w:bottom w:val="single" w:color="auto" w:sz="8" w:space="0"/>
              <w:right w:val="single" w:color="000000" w:sz="8" w:space="0"/>
            </w:tcBorders>
            <w:vAlign w:val="center"/>
          </w:tcPr>
          <w:p>
            <w:pPr>
              <w:widowControl/>
              <w:jc w:val="right"/>
              <w:rPr>
                <w:rFonts w:ascii="仿宋" w:hAnsi="仿宋" w:eastAsia="仿宋" w:cs="仿宋"/>
                <w:kern w:val="0"/>
                <w:sz w:val="24"/>
              </w:rPr>
            </w:pPr>
            <w:r>
              <w:rPr>
                <w:rFonts w:ascii="仿宋" w:hAnsi="仿宋" w:eastAsia="仿宋" w:cs="仿宋"/>
                <w:kern w:val="0"/>
                <w:sz w:val="24"/>
              </w:rPr>
              <w:t>280,000.00</w:t>
            </w:r>
          </w:p>
        </w:tc>
        <w:tc>
          <w:tcPr>
            <w:tcW w:w="1981" w:type="dxa"/>
            <w:gridSpan w:val="2"/>
            <w:tcBorders>
              <w:top w:val="single" w:color="auto" w:sz="8" w:space="0"/>
              <w:left w:val="nil"/>
              <w:bottom w:val="single" w:color="auto" w:sz="8" w:space="0"/>
              <w:right w:val="single" w:color="000000" w:sz="8" w:space="0"/>
            </w:tcBorders>
            <w:vAlign w:val="center"/>
          </w:tcPr>
          <w:p>
            <w:pPr>
              <w:widowControl/>
              <w:jc w:val="right"/>
              <w:rPr>
                <w:rFonts w:ascii="仿宋" w:hAnsi="仿宋" w:eastAsia="仿宋" w:cs="仿宋"/>
                <w:kern w:val="0"/>
                <w:sz w:val="24"/>
              </w:rPr>
            </w:pPr>
            <w:r>
              <w:rPr>
                <w:rFonts w:hint="eastAsia" w:ascii="仿宋" w:hAnsi="仿宋" w:eastAsia="仿宋" w:cs="仿宋"/>
                <w:kern w:val="0"/>
                <w:sz w:val="24"/>
              </w:rPr>
              <w:t>279,158.47</w:t>
            </w:r>
          </w:p>
        </w:tc>
      </w:tr>
      <w:tr>
        <w:tblPrEx>
          <w:tblCellMar>
            <w:top w:w="0" w:type="dxa"/>
            <w:left w:w="108" w:type="dxa"/>
            <w:bottom w:w="0" w:type="dxa"/>
            <w:right w:w="108" w:type="dxa"/>
          </w:tblCellMar>
        </w:tblPrEx>
        <w:trPr>
          <w:trHeight w:val="390" w:hRule="atLeast"/>
        </w:trPr>
        <w:tc>
          <w:tcPr>
            <w:tcW w:w="2893" w:type="dxa"/>
            <w:tcBorders>
              <w:top w:val="nil"/>
              <w:left w:val="single" w:color="auto" w:sz="8" w:space="0"/>
              <w:bottom w:val="single" w:color="auto" w:sz="8" w:space="0"/>
              <w:right w:val="single" w:color="auto" w:sz="8" w:space="0"/>
            </w:tcBorders>
            <w:vAlign w:val="center"/>
          </w:tcPr>
          <w:p>
            <w:pPr>
              <w:widowControl/>
              <w:jc w:val="left"/>
              <w:rPr>
                <w:rFonts w:ascii="仿宋" w:hAnsi="仿宋" w:eastAsia="仿宋" w:cs="仿宋"/>
                <w:color w:val="000000"/>
                <w:kern w:val="0"/>
                <w:sz w:val="24"/>
              </w:rPr>
            </w:pPr>
            <w:r>
              <w:rPr>
                <w:rFonts w:ascii="仿宋" w:hAnsi="仿宋" w:eastAsia="仿宋" w:cs="仿宋"/>
                <w:color w:val="000000"/>
                <w:kern w:val="0"/>
                <w:sz w:val="24"/>
              </w:rPr>
              <w:t>1</w:t>
            </w:r>
            <w:r>
              <w:rPr>
                <w:rFonts w:hint="eastAsia" w:ascii="仿宋" w:hAnsi="仿宋" w:eastAsia="仿宋" w:cs="仿宋"/>
                <w:color w:val="000000"/>
                <w:kern w:val="0"/>
                <w:sz w:val="24"/>
              </w:rPr>
              <w:t>、公务用车购置和维护经费</w:t>
            </w:r>
          </w:p>
        </w:tc>
        <w:tc>
          <w:tcPr>
            <w:tcW w:w="1879" w:type="dxa"/>
            <w:gridSpan w:val="2"/>
            <w:tcBorders>
              <w:top w:val="single" w:color="auto" w:sz="8" w:space="0"/>
              <w:left w:val="nil"/>
              <w:bottom w:val="single" w:color="auto" w:sz="8" w:space="0"/>
              <w:right w:val="single" w:color="000000" w:sz="8" w:space="0"/>
            </w:tcBorders>
            <w:vAlign w:val="center"/>
          </w:tcPr>
          <w:p>
            <w:pPr>
              <w:widowControl/>
              <w:jc w:val="right"/>
              <w:rPr>
                <w:rFonts w:ascii="仿宋" w:hAnsi="仿宋" w:eastAsia="仿宋" w:cs="仿宋"/>
                <w:color w:val="000000"/>
                <w:kern w:val="0"/>
                <w:sz w:val="24"/>
              </w:rPr>
            </w:pPr>
            <w:r>
              <w:rPr>
                <w:rFonts w:ascii="仿宋" w:hAnsi="仿宋" w:eastAsia="仿宋" w:cs="仿宋"/>
                <w:kern w:val="0"/>
                <w:sz w:val="24"/>
              </w:rPr>
              <w:t>33,860.80</w:t>
            </w:r>
          </w:p>
        </w:tc>
        <w:tc>
          <w:tcPr>
            <w:tcW w:w="1769" w:type="dxa"/>
            <w:gridSpan w:val="2"/>
            <w:tcBorders>
              <w:top w:val="single" w:color="auto" w:sz="8" w:space="0"/>
              <w:left w:val="nil"/>
              <w:bottom w:val="single" w:color="auto" w:sz="8" w:space="0"/>
              <w:right w:val="single" w:color="000000" w:sz="8" w:space="0"/>
            </w:tcBorders>
            <w:vAlign w:val="center"/>
          </w:tcPr>
          <w:p>
            <w:pPr>
              <w:widowControl/>
              <w:jc w:val="right"/>
              <w:rPr>
                <w:rFonts w:ascii="仿宋" w:hAnsi="仿宋" w:eastAsia="仿宋" w:cs="仿宋"/>
                <w:kern w:val="0"/>
                <w:sz w:val="24"/>
              </w:rPr>
            </w:pPr>
            <w:r>
              <w:rPr>
                <w:rFonts w:ascii="仿宋" w:hAnsi="仿宋" w:eastAsia="仿宋" w:cs="仿宋"/>
                <w:kern w:val="0"/>
                <w:sz w:val="24"/>
              </w:rPr>
              <w:t>50,000.00</w:t>
            </w:r>
          </w:p>
        </w:tc>
        <w:tc>
          <w:tcPr>
            <w:tcW w:w="1981" w:type="dxa"/>
            <w:gridSpan w:val="2"/>
            <w:tcBorders>
              <w:top w:val="single" w:color="auto" w:sz="8" w:space="0"/>
              <w:left w:val="nil"/>
              <w:bottom w:val="single" w:color="auto" w:sz="8" w:space="0"/>
              <w:right w:val="single" w:color="000000" w:sz="8" w:space="0"/>
            </w:tcBorders>
            <w:vAlign w:val="center"/>
          </w:tcPr>
          <w:p>
            <w:pPr>
              <w:widowControl/>
              <w:jc w:val="right"/>
              <w:rPr>
                <w:rFonts w:ascii="仿宋" w:hAnsi="仿宋" w:eastAsia="仿宋" w:cs="仿宋"/>
                <w:kern w:val="0"/>
                <w:sz w:val="24"/>
              </w:rPr>
            </w:pPr>
            <w:r>
              <w:rPr>
                <w:rFonts w:hint="eastAsia" w:ascii="仿宋" w:hAnsi="仿宋" w:eastAsia="仿宋" w:cs="仿宋"/>
                <w:kern w:val="0"/>
                <w:sz w:val="24"/>
              </w:rPr>
              <w:t>199,936.87</w:t>
            </w:r>
          </w:p>
        </w:tc>
      </w:tr>
      <w:tr>
        <w:trPr>
          <w:trHeight w:val="390" w:hRule="atLeast"/>
        </w:trPr>
        <w:tc>
          <w:tcPr>
            <w:tcW w:w="2893" w:type="dxa"/>
            <w:tcBorders>
              <w:top w:val="nil"/>
              <w:left w:val="single" w:color="auto" w:sz="8" w:space="0"/>
              <w:bottom w:val="single" w:color="auto" w:sz="8" w:space="0"/>
              <w:right w:val="single" w:color="auto" w:sz="8" w:space="0"/>
            </w:tcBorders>
            <w:vAlign w:val="center"/>
          </w:tcPr>
          <w:p>
            <w:pPr>
              <w:widowControl/>
              <w:jc w:val="left"/>
              <w:rPr>
                <w:rFonts w:ascii="仿宋" w:hAnsi="仿宋" w:eastAsia="仿宋" w:cs="仿宋"/>
                <w:color w:val="000000"/>
                <w:kern w:val="0"/>
                <w:sz w:val="24"/>
              </w:rPr>
            </w:pPr>
            <w:r>
              <w:rPr>
                <w:rFonts w:hint="eastAsia" w:ascii="仿宋" w:hAnsi="仿宋" w:eastAsia="仿宋" w:cs="仿宋"/>
                <w:color w:val="000000"/>
                <w:kern w:val="0"/>
                <w:sz w:val="24"/>
              </w:rPr>
              <w:t>其中：公车购置</w:t>
            </w:r>
          </w:p>
        </w:tc>
        <w:tc>
          <w:tcPr>
            <w:tcW w:w="1879" w:type="dxa"/>
            <w:gridSpan w:val="2"/>
            <w:tcBorders>
              <w:top w:val="single" w:color="auto" w:sz="8" w:space="0"/>
              <w:left w:val="nil"/>
              <w:bottom w:val="single" w:color="auto" w:sz="8" w:space="0"/>
              <w:right w:val="single" w:color="000000" w:sz="8" w:space="0"/>
            </w:tcBorders>
            <w:vAlign w:val="center"/>
          </w:tcPr>
          <w:p>
            <w:pPr>
              <w:widowControl/>
              <w:jc w:val="right"/>
              <w:rPr>
                <w:rFonts w:ascii="仿宋" w:hAnsi="仿宋" w:eastAsia="仿宋" w:cs="仿宋"/>
                <w:color w:val="000000"/>
                <w:kern w:val="0"/>
                <w:sz w:val="24"/>
              </w:rPr>
            </w:pPr>
          </w:p>
        </w:tc>
        <w:tc>
          <w:tcPr>
            <w:tcW w:w="1769" w:type="dxa"/>
            <w:gridSpan w:val="2"/>
            <w:tcBorders>
              <w:top w:val="single" w:color="auto" w:sz="8" w:space="0"/>
              <w:left w:val="nil"/>
              <w:bottom w:val="single" w:color="auto" w:sz="8" w:space="0"/>
              <w:right w:val="single" w:color="000000" w:sz="8" w:space="0"/>
            </w:tcBorders>
            <w:vAlign w:val="center"/>
          </w:tcPr>
          <w:p>
            <w:pPr>
              <w:widowControl/>
              <w:jc w:val="right"/>
              <w:rPr>
                <w:rFonts w:ascii="仿宋" w:hAnsi="仿宋" w:eastAsia="仿宋" w:cs="仿宋"/>
                <w:kern w:val="0"/>
                <w:sz w:val="24"/>
              </w:rPr>
            </w:pPr>
          </w:p>
        </w:tc>
        <w:tc>
          <w:tcPr>
            <w:tcW w:w="1981" w:type="dxa"/>
            <w:gridSpan w:val="2"/>
            <w:tcBorders>
              <w:top w:val="single" w:color="auto" w:sz="8" w:space="0"/>
              <w:left w:val="nil"/>
              <w:bottom w:val="single" w:color="auto" w:sz="8" w:space="0"/>
              <w:right w:val="single" w:color="000000" w:sz="8" w:space="0"/>
            </w:tcBorders>
            <w:vAlign w:val="center"/>
          </w:tcPr>
          <w:p>
            <w:pPr>
              <w:widowControl/>
              <w:jc w:val="right"/>
              <w:rPr>
                <w:rFonts w:ascii="仿宋" w:hAnsi="仿宋" w:eastAsia="仿宋" w:cs="仿宋"/>
                <w:kern w:val="0"/>
                <w:sz w:val="24"/>
              </w:rPr>
            </w:pPr>
            <w:r>
              <w:rPr>
                <w:rFonts w:hint="eastAsia" w:ascii="仿宋" w:hAnsi="仿宋" w:eastAsia="仿宋" w:cs="仿宋"/>
                <w:kern w:val="0"/>
                <w:sz w:val="24"/>
              </w:rPr>
              <w:t>151,900.00</w:t>
            </w:r>
          </w:p>
        </w:tc>
      </w:tr>
      <w:tr>
        <w:tblPrEx>
          <w:tblCellMar>
            <w:top w:w="0" w:type="dxa"/>
            <w:left w:w="108" w:type="dxa"/>
            <w:bottom w:w="0" w:type="dxa"/>
            <w:right w:w="108" w:type="dxa"/>
          </w:tblCellMar>
        </w:tblPrEx>
        <w:trPr>
          <w:trHeight w:val="390" w:hRule="atLeast"/>
        </w:trPr>
        <w:tc>
          <w:tcPr>
            <w:tcW w:w="2893" w:type="dxa"/>
            <w:tcBorders>
              <w:top w:val="nil"/>
              <w:left w:val="single" w:color="auto" w:sz="8" w:space="0"/>
              <w:bottom w:val="single" w:color="auto" w:sz="8" w:space="0"/>
              <w:right w:val="single" w:color="auto" w:sz="8" w:space="0"/>
            </w:tcBorders>
            <w:vAlign w:val="center"/>
          </w:tcPr>
          <w:p>
            <w:pPr>
              <w:widowControl/>
              <w:jc w:val="left"/>
              <w:rPr>
                <w:rFonts w:ascii="仿宋" w:hAnsi="仿宋" w:eastAsia="仿宋" w:cs="仿宋"/>
                <w:color w:val="000000"/>
                <w:kern w:val="0"/>
                <w:sz w:val="24"/>
              </w:rPr>
            </w:pPr>
            <w:r>
              <w:rPr>
                <w:rFonts w:hint="eastAsia" w:ascii="仿宋" w:hAnsi="仿宋" w:eastAsia="仿宋" w:cs="仿宋"/>
                <w:color w:val="000000"/>
                <w:kern w:val="0"/>
                <w:sz w:val="24"/>
              </w:rPr>
              <w:t>公车运行维护</w:t>
            </w:r>
          </w:p>
        </w:tc>
        <w:tc>
          <w:tcPr>
            <w:tcW w:w="1879" w:type="dxa"/>
            <w:gridSpan w:val="2"/>
            <w:tcBorders>
              <w:top w:val="single" w:color="auto" w:sz="8" w:space="0"/>
              <w:left w:val="nil"/>
              <w:bottom w:val="single" w:color="auto" w:sz="8" w:space="0"/>
              <w:right w:val="single" w:color="000000" w:sz="8" w:space="0"/>
            </w:tcBorders>
            <w:vAlign w:val="center"/>
          </w:tcPr>
          <w:p>
            <w:pPr>
              <w:widowControl/>
              <w:jc w:val="right"/>
              <w:rPr>
                <w:rFonts w:ascii="仿宋" w:hAnsi="仿宋" w:eastAsia="仿宋" w:cs="仿宋"/>
                <w:color w:val="000000"/>
                <w:kern w:val="0"/>
                <w:sz w:val="24"/>
              </w:rPr>
            </w:pPr>
            <w:r>
              <w:rPr>
                <w:rFonts w:ascii="仿宋" w:hAnsi="仿宋" w:eastAsia="仿宋" w:cs="仿宋"/>
                <w:kern w:val="0"/>
                <w:sz w:val="24"/>
              </w:rPr>
              <w:t>33,860.80</w:t>
            </w:r>
          </w:p>
        </w:tc>
        <w:tc>
          <w:tcPr>
            <w:tcW w:w="1769" w:type="dxa"/>
            <w:gridSpan w:val="2"/>
            <w:tcBorders>
              <w:top w:val="single" w:color="auto" w:sz="8" w:space="0"/>
              <w:left w:val="nil"/>
              <w:bottom w:val="single" w:color="auto" w:sz="8" w:space="0"/>
              <w:right w:val="single" w:color="000000" w:sz="8" w:space="0"/>
            </w:tcBorders>
            <w:vAlign w:val="center"/>
          </w:tcPr>
          <w:p>
            <w:pPr>
              <w:widowControl/>
              <w:jc w:val="right"/>
              <w:rPr>
                <w:rFonts w:ascii="仿宋" w:hAnsi="仿宋" w:eastAsia="仿宋" w:cs="仿宋"/>
                <w:kern w:val="0"/>
                <w:sz w:val="24"/>
              </w:rPr>
            </w:pPr>
            <w:r>
              <w:rPr>
                <w:rFonts w:ascii="仿宋" w:hAnsi="仿宋" w:eastAsia="仿宋" w:cs="仿宋"/>
                <w:kern w:val="0"/>
                <w:sz w:val="24"/>
              </w:rPr>
              <w:t>50,000.00</w:t>
            </w:r>
          </w:p>
        </w:tc>
        <w:tc>
          <w:tcPr>
            <w:tcW w:w="1981" w:type="dxa"/>
            <w:gridSpan w:val="2"/>
            <w:tcBorders>
              <w:top w:val="single" w:color="auto" w:sz="8" w:space="0"/>
              <w:left w:val="nil"/>
              <w:bottom w:val="single" w:color="auto" w:sz="8" w:space="0"/>
              <w:right w:val="single" w:color="000000" w:sz="8" w:space="0"/>
            </w:tcBorders>
            <w:vAlign w:val="center"/>
          </w:tcPr>
          <w:p>
            <w:pPr>
              <w:widowControl/>
              <w:jc w:val="right"/>
              <w:rPr>
                <w:rFonts w:ascii="仿宋" w:hAnsi="仿宋" w:eastAsia="仿宋" w:cs="仿宋"/>
                <w:kern w:val="0"/>
                <w:sz w:val="24"/>
              </w:rPr>
            </w:pPr>
            <w:r>
              <w:rPr>
                <w:rFonts w:hint="eastAsia" w:ascii="仿宋" w:hAnsi="仿宋" w:eastAsia="仿宋" w:cs="仿宋"/>
                <w:kern w:val="0"/>
                <w:sz w:val="24"/>
              </w:rPr>
              <w:t>48,036.87</w:t>
            </w:r>
          </w:p>
        </w:tc>
      </w:tr>
      <w:tr>
        <w:tblPrEx>
          <w:tblCellMar>
            <w:top w:w="0" w:type="dxa"/>
            <w:left w:w="108" w:type="dxa"/>
            <w:bottom w:w="0" w:type="dxa"/>
            <w:right w:w="108" w:type="dxa"/>
          </w:tblCellMar>
        </w:tblPrEx>
        <w:trPr>
          <w:trHeight w:val="375" w:hRule="atLeast"/>
        </w:trPr>
        <w:tc>
          <w:tcPr>
            <w:tcW w:w="2893" w:type="dxa"/>
            <w:tcBorders>
              <w:top w:val="nil"/>
              <w:left w:val="single" w:color="auto" w:sz="8" w:space="0"/>
              <w:bottom w:val="single" w:color="auto" w:sz="8" w:space="0"/>
              <w:right w:val="single" w:color="auto" w:sz="8" w:space="0"/>
            </w:tcBorders>
            <w:vAlign w:val="center"/>
          </w:tcPr>
          <w:p>
            <w:pPr>
              <w:widowControl/>
              <w:jc w:val="left"/>
              <w:rPr>
                <w:rFonts w:ascii="仿宋" w:hAnsi="仿宋" w:eastAsia="仿宋" w:cs="仿宋"/>
                <w:color w:val="000000"/>
                <w:kern w:val="0"/>
                <w:sz w:val="24"/>
              </w:rPr>
            </w:pPr>
            <w:r>
              <w:rPr>
                <w:rFonts w:ascii="仿宋" w:hAnsi="仿宋" w:eastAsia="仿宋" w:cs="仿宋"/>
                <w:color w:val="000000"/>
                <w:kern w:val="0"/>
                <w:sz w:val="24"/>
              </w:rPr>
              <w:t>2</w:t>
            </w:r>
            <w:r>
              <w:rPr>
                <w:rFonts w:hint="eastAsia" w:ascii="仿宋" w:hAnsi="仿宋" w:eastAsia="仿宋" w:cs="仿宋"/>
                <w:color w:val="000000"/>
                <w:kern w:val="0"/>
                <w:sz w:val="24"/>
              </w:rPr>
              <w:t>、出国经费</w:t>
            </w:r>
          </w:p>
        </w:tc>
        <w:tc>
          <w:tcPr>
            <w:tcW w:w="1879" w:type="dxa"/>
            <w:gridSpan w:val="2"/>
            <w:tcBorders>
              <w:top w:val="single" w:color="auto" w:sz="8" w:space="0"/>
              <w:left w:val="nil"/>
              <w:bottom w:val="single" w:color="auto" w:sz="8" w:space="0"/>
              <w:right w:val="single" w:color="000000" w:sz="8" w:space="0"/>
            </w:tcBorders>
            <w:vAlign w:val="center"/>
          </w:tcPr>
          <w:p>
            <w:pPr>
              <w:widowControl/>
              <w:jc w:val="right"/>
              <w:rPr>
                <w:rFonts w:ascii="仿宋" w:hAnsi="仿宋" w:eastAsia="仿宋" w:cs="仿宋"/>
                <w:color w:val="000000"/>
                <w:kern w:val="0"/>
                <w:sz w:val="24"/>
              </w:rPr>
            </w:pPr>
            <w:r>
              <w:rPr>
                <w:rFonts w:ascii="仿宋" w:hAnsi="仿宋" w:eastAsia="仿宋" w:cs="仿宋"/>
                <w:kern w:val="0"/>
                <w:sz w:val="24"/>
              </w:rPr>
              <w:t>99,653.30</w:t>
            </w:r>
          </w:p>
        </w:tc>
        <w:tc>
          <w:tcPr>
            <w:tcW w:w="1769" w:type="dxa"/>
            <w:gridSpan w:val="2"/>
            <w:tcBorders>
              <w:top w:val="single" w:color="auto" w:sz="8" w:space="0"/>
              <w:left w:val="nil"/>
              <w:bottom w:val="single" w:color="auto" w:sz="8" w:space="0"/>
              <w:right w:val="single" w:color="000000" w:sz="8" w:space="0"/>
            </w:tcBorders>
            <w:vAlign w:val="center"/>
          </w:tcPr>
          <w:p>
            <w:pPr>
              <w:widowControl/>
              <w:jc w:val="right"/>
              <w:rPr>
                <w:rFonts w:ascii="仿宋" w:hAnsi="仿宋" w:eastAsia="仿宋" w:cs="仿宋"/>
                <w:kern w:val="0"/>
                <w:sz w:val="24"/>
              </w:rPr>
            </w:pPr>
            <w:r>
              <w:rPr>
                <w:rFonts w:ascii="仿宋" w:hAnsi="仿宋" w:eastAsia="仿宋" w:cs="仿宋"/>
                <w:kern w:val="0"/>
                <w:sz w:val="24"/>
              </w:rPr>
              <w:t>100,000.00</w:t>
            </w:r>
          </w:p>
        </w:tc>
        <w:tc>
          <w:tcPr>
            <w:tcW w:w="1981" w:type="dxa"/>
            <w:gridSpan w:val="2"/>
            <w:tcBorders>
              <w:top w:val="single" w:color="auto" w:sz="8" w:space="0"/>
              <w:left w:val="nil"/>
              <w:bottom w:val="single" w:color="auto" w:sz="8" w:space="0"/>
              <w:right w:val="single" w:color="000000" w:sz="8" w:space="0"/>
            </w:tcBorders>
            <w:vAlign w:val="center"/>
          </w:tcPr>
          <w:p>
            <w:pPr>
              <w:widowControl/>
              <w:jc w:val="right"/>
              <w:rPr>
                <w:rFonts w:ascii="仿宋" w:hAnsi="仿宋" w:eastAsia="仿宋" w:cs="仿宋"/>
                <w:kern w:val="0"/>
                <w:sz w:val="24"/>
              </w:rPr>
            </w:pPr>
            <w:r>
              <w:rPr>
                <w:rFonts w:hint="eastAsia" w:ascii="仿宋" w:hAnsi="仿宋" w:eastAsia="仿宋" w:cs="仿宋"/>
                <w:kern w:val="0"/>
                <w:sz w:val="24"/>
              </w:rPr>
              <w:t>14,061.00</w:t>
            </w:r>
          </w:p>
        </w:tc>
      </w:tr>
      <w:tr>
        <w:tblPrEx>
          <w:tblCellMar>
            <w:top w:w="0" w:type="dxa"/>
            <w:left w:w="108" w:type="dxa"/>
            <w:bottom w:w="0" w:type="dxa"/>
            <w:right w:w="108" w:type="dxa"/>
          </w:tblCellMar>
        </w:tblPrEx>
        <w:trPr>
          <w:trHeight w:val="375" w:hRule="atLeast"/>
        </w:trPr>
        <w:tc>
          <w:tcPr>
            <w:tcW w:w="2893" w:type="dxa"/>
            <w:tcBorders>
              <w:top w:val="nil"/>
              <w:left w:val="single" w:color="auto" w:sz="8" w:space="0"/>
              <w:bottom w:val="single" w:color="auto" w:sz="8" w:space="0"/>
              <w:right w:val="single" w:color="auto" w:sz="8" w:space="0"/>
            </w:tcBorders>
            <w:vAlign w:val="center"/>
          </w:tcPr>
          <w:p>
            <w:pPr>
              <w:widowControl/>
              <w:jc w:val="left"/>
              <w:rPr>
                <w:rFonts w:ascii="仿宋" w:hAnsi="仿宋" w:eastAsia="仿宋" w:cs="仿宋"/>
                <w:color w:val="000000"/>
                <w:kern w:val="0"/>
                <w:sz w:val="24"/>
              </w:rPr>
            </w:pPr>
            <w:r>
              <w:rPr>
                <w:rFonts w:ascii="仿宋" w:hAnsi="仿宋" w:eastAsia="仿宋" w:cs="仿宋"/>
                <w:color w:val="000000"/>
                <w:kern w:val="0"/>
                <w:sz w:val="24"/>
              </w:rPr>
              <w:t>3</w:t>
            </w:r>
            <w:r>
              <w:rPr>
                <w:rFonts w:hint="eastAsia" w:ascii="仿宋" w:hAnsi="仿宋" w:eastAsia="仿宋" w:cs="仿宋"/>
                <w:color w:val="000000"/>
                <w:kern w:val="0"/>
                <w:sz w:val="24"/>
              </w:rPr>
              <w:t>、公务接待</w:t>
            </w:r>
          </w:p>
        </w:tc>
        <w:tc>
          <w:tcPr>
            <w:tcW w:w="1879" w:type="dxa"/>
            <w:gridSpan w:val="2"/>
            <w:tcBorders>
              <w:top w:val="single" w:color="auto" w:sz="8" w:space="0"/>
              <w:left w:val="nil"/>
              <w:bottom w:val="single" w:color="auto" w:sz="8" w:space="0"/>
              <w:right w:val="single" w:color="000000" w:sz="8" w:space="0"/>
            </w:tcBorders>
            <w:vAlign w:val="center"/>
          </w:tcPr>
          <w:p>
            <w:pPr>
              <w:widowControl/>
              <w:jc w:val="right"/>
              <w:rPr>
                <w:rFonts w:ascii="仿宋" w:hAnsi="仿宋" w:eastAsia="仿宋" w:cs="仿宋"/>
                <w:color w:val="000000"/>
                <w:kern w:val="0"/>
                <w:sz w:val="24"/>
              </w:rPr>
            </w:pPr>
            <w:r>
              <w:rPr>
                <w:rFonts w:ascii="仿宋" w:hAnsi="仿宋" w:eastAsia="仿宋" w:cs="仿宋"/>
                <w:kern w:val="0"/>
                <w:sz w:val="24"/>
              </w:rPr>
              <w:t>69,233.00</w:t>
            </w:r>
          </w:p>
        </w:tc>
        <w:tc>
          <w:tcPr>
            <w:tcW w:w="1769" w:type="dxa"/>
            <w:gridSpan w:val="2"/>
            <w:tcBorders>
              <w:top w:val="single" w:color="auto" w:sz="8" w:space="0"/>
              <w:left w:val="nil"/>
              <w:bottom w:val="single" w:color="auto" w:sz="8" w:space="0"/>
              <w:right w:val="single" w:color="000000" w:sz="8" w:space="0"/>
            </w:tcBorders>
            <w:vAlign w:val="center"/>
          </w:tcPr>
          <w:p>
            <w:pPr>
              <w:widowControl/>
              <w:jc w:val="right"/>
              <w:rPr>
                <w:rFonts w:ascii="仿宋" w:hAnsi="仿宋" w:eastAsia="仿宋" w:cs="仿宋"/>
                <w:kern w:val="0"/>
                <w:sz w:val="24"/>
              </w:rPr>
            </w:pPr>
            <w:r>
              <w:rPr>
                <w:rFonts w:ascii="仿宋" w:hAnsi="仿宋" w:eastAsia="仿宋" w:cs="仿宋"/>
                <w:kern w:val="0"/>
                <w:sz w:val="24"/>
              </w:rPr>
              <w:t>130,000.00</w:t>
            </w:r>
          </w:p>
        </w:tc>
        <w:tc>
          <w:tcPr>
            <w:tcW w:w="1981" w:type="dxa"/>
            <w:gridSpan w:val="2"/>
            <w:tcBorders>
              <w:top w:val="single" w:color="auto" w:sz="8" w:space="0"/>
              <w:left w:val="nil"/>
              <w:bottom w:val="single" w:color="auto" w:sz="8" w:space="0"/>
              <w:right w:val="single" w:color="000000" w:sz="8" w:space="0"/>
            </w:tcBorders>
            <w:vAlign w:val="center"/>
          </w:tcPr>
          <w:p>
            <w:pPr>
              <w:widowControl/>
              <w:jc w:val="right"/>
              <w:rPr>
                <w:rFonts w:ascii="仿宋" w:hAnsi="仿宋" w:eastAsia="仿宋" w:cs="仿宋"/>
                <w:kern w:val="0"/>
                <w:sz w:val="24"/>
              </w:rPr>
            </w:pPr>
            <w:r>
              <w:rPr>
                <w:rFonts w:hint="eastAsia" w:ascii="仿宋" w:hAnsi="仿宋" w:eastAsia="仿宋" w:cs="仿宋"/>
                <w:kern w:val="0"/>
                <w:sz w:val="24"/>
              </w:rPr>
              <w:t>65,160.60</w:t>
            </w:r>
          </w:p>
        </w:tc>
      </w:tr>
      <w:tr>
        <w:trPr>
          <w:trHeight w:val="300" w:hRule="atLeast"/>
        </w:trPr>
        <w:tc>
          <w:tcPr>
            <w:tcW w:w="2893" w:type="dxa"/>
            <w:tcBorders>
              <w:top w:val="nil"/>
              <w:left w:val="single" w:color="auto" w:sz="8" w:space="0"/>
              <w:bottom w:val="single" w:color="auto" w:sz="8" w:space="0"/>
              <w:right w:val="single" w:color="auto" w:sz="8" w:space="0"/>
            </w:tcBorders>
            <w:vAlign w:val="center"/>
          </w:tcPr>
          <w:p>
            <w:pPr>
              <w:widowControl/>
              <w:jc w:val="left"/>
              <w:rPr>
                <w:rFonts w:ascii="仿宋" w:hAnsi="仿宋" w:eastAsia="仿宋" w:cs="仿宋"/>
                <w:color w:val="000000"/>
                <w:kern w:val="0"/>
                <w:sz w:val="24"/>
              </w:rPr>
            </w:pPr>
            <w:r>
              <w:rPr>
                <w:rFonts w:hint="eastAsia" w:ascii="仿宋" w:hAnsi="仿宋" w:eastAsia="仿宋" w:cs="仿宋"/>
                <w:color w:val="000000"/>
                <w:kern w:val="0"/>
                <w:sz w:val="24"/>
              </w:rPr>
              <w:t>项目支出：</w:t>
            </w:r>
          </w:p>
        </w:tc>
        <w:tc>
          <w:tcPr>
            <w:tcW w:w="1879" w:type="dxa"/>
            <w:gridSpan w:val="2"/>
            <w:tcBorders>
              <w:top w:val="single" w:color="auto" w:sz="8" w:space="0"/>
              <w:left w:val="nil"/>
              <w:bottom w:val="single" w:color="auto" w:sz="8" w:space="0"/>
              <w:right w:val="single" w:color="000000" w:sz="8" w:space="0"/>
            </w:tcBorders>
            <w:vAlign w:val="center"/>
          </w:tcPr>
          <w:p>
            <w:pPr>
              <w:widowControl/>
              <w:jc w:val="right"/>
              <w:rPr>
                <w:rFonts w:ascii="仿宋" w:hAnsi="仿宋" w:eastAsia="仿宋" w:cs="仿宋"/>
                <w:color w:val="000000"/>
                <w:kern w:val="0"/>
                <w:sz w:val="24"/>
              </w:rPr>
            </w:pPr>
            <w:r>
              <w:rPr>
                <w:rFonts w:ascii="仿宋" w:hAnsi="仿宋" w:eastAsia="仿宋" w:cs="仿宋"/>
                <w:kern w:val="0"/>
                <w:sz w:val="24"/>
              </w:rPr>
              <w:t>2,751,334.44</w:t>
            </w:r>
          </w:p>
        </w:tc>
        <w:tc>
          <w:tcPr>
            <w:tcW w:w="1769" w:type="dxa"/>
            <w:gridSpan w:val="2"/>
            <w:tcBorders>
              <w:top w:val="single" w:color="auto" w:sz="8" w:space="0"/>
              <w:left w:val="nil"/>
              <w:bottom w:val="single" w:color="auto" w:sz="8" w:space="0"/>
              <w:right w:val="single" w:color="000000" w:sz="8" w:space="0"/>
            </w:tcBorders>
            <w:vAlign w:val="center"/>
          </w:tcPr>
          <w:p>
            <w:pPr>
              <w:widowControl/>
              <w:jc w:val="right"/>
              <w:rPr>
                <w:rFonts w:ascii="仿宋" w:hAnsi="仿宋" w:eastAsia="仿宋" w:cs="仿宋"/>
                <w:kern w:val="0"/>
                <w:sz w:val="24"/>
              </w:rPr>
            </w:pPr>
            <w:r>
              <w:rPr>
                <w:rFonts w:ascii="仿宋" w:hAnsi="仿宋" w:eastAsia="仿宋" w:cs="仿宋"/>
                <w:kern w:val="0"/>
                <w:sz w:val="24"/>
              </w:rPr>
              <w:t>1,</w:t>
            </w:r>
            <w:r>
              <w:rPr>
                <w:rFonts w:hint="eastAsia" w:ascii="仿宋" w:hAnsi="仿宋" w:eastAsia="仿宋" w:cs="仿宋"/>
                <w:kern w:val="0"/>
                <w:sz w:val="24"/>
              </w:rPr>
              <w:t>66</w:t>
            </w:r>
            <w:r>
              <w:rPr>
                <w:rFonts w:ascii="仿宋" w:hAnsi="仿宋" w:eastAsia="仿宋" w:cs="仿宋"/>
                <w:kern w:val="0"/>
                <w:sz w:val="24"/>
              </w:rPr>
              <w:t>9,</w:t>
            </w:r>
            <w:r>
              <w:rPr>
                <w:rFonts w:hint="eastAsia" w:ascii="仿宋" w:hAnsi="仿宋" w:eastAsia="仿宋" w:cs="仿宋"/>
                <w:kern w:val="0"/>
                <w:sz w:val="24"/>
              </w:rPr>
              <w:t>2</w:t>
            </w:r>
            <w:r>
              <w:rPr>
                <w:rFonts w:ascii="仿宋" w:hAnsi="仿宋" w:eastAsia="仿宋" w:cs="仿宋"/>
                <w:kern w:val="0"/>
                <w:sz w:val="24"/>
              </w:rPr>
              <w:t>00.00</w:t>
            </w:r>
          </w:p>
        </w:tc>
        <w:tc>
          <w:tcPr>
            <w:tcW w:w="1981" w:type="dxa"/>
            <w:gridSpan w:val="2"/>
            <w:tcBorders>
              <w:top w:val="single" w:color="auto" w:sz="8" w:space="0"/>
              <w:left w:val="nil"/>
              <w:bottom w:val="single" w:color="auto" w:sz="8" w:space="0"/>
              <w:right w:val="single" w:color="000000" w:sz="8" w:space="0"/>
            </w:tcBorders>
            <w:vAlign w:val="center"/>
          </w:tcPr>
          <w:p>
            <w:pPr>
              <w:widowControl/>
              <w:jc w:val="right"/>
              <w:rPr>
                <w:rFonts w:ascii="仿宋" w:hAnsi="仿宋" w:eastAsia="仿宋" w:cs="仿宋"/>
                <w:kern w:val="0"/>
                <w:sz w:val="24"/>
              </w:rPr>
            </w:pPr>
            <w:r>
              <w:rPr>
                <w:rFonts w:hint="eastAsia" w:ascii="仿宋" w:hAnsi="仿宋" w:eastAsia="仿宋" w:cs="仿宋"/>
                <w:kern w:val="0"/>
                <w:sz w:val="24"/>
              </w:rPr>
              <w:t>2,741,295.93</w:t>
            </w:r>
          </w:p>
        </w:tc>
      </w:tr>
      <w:tr>
        <w:tblPrEx>
          <w:tblCellMar>
            <w:top w:w="0" w:type="dxa"/>
            <w:left w:w="108" w:type="dxa"/>
            <w:bottom w:w="0" w:type="dxa"/>
            <w:right w:w="108" w:type="dxa"/>
          </w:tblCellMar>
        </w:tblPrEx>
        <w:trPr>
          <w:trHeight w:val="300" w:hRule="atLeast"/>
        </w:trPr>
        <w:tc>
          <w:tcPr>
            <w:tcW w:w="2893" w:type="dxa"/>
            <w:tcBorders>
              <w:top w:val="nil"/>
              <w:left w:val="single" w:color="auto" w:sz="8" w:space="0"/>
              <w:bottom w:val="single" w:color="auto" w:sz="8" w:space="0"/>
              <w:right w:val="single" w:color="auto" w:sz="8" w:space="0"/>
            </w:tcBorders>
            <w:vAlign w:val="center"/>
          </w:tcPr>
          <w:p>
            <w:pPr>
              <w:widowControl/>
              <w:jc w:val="left"/>
              <w:rPr>
                <w:rFonts w:ascii="仿宋" w:hAnsi="仿宋" w:eastAsia="仿宋" w:cs="仿宋"/>
                <w:color w:val="000000"/>
                <w:kern w:val="0"/>
                <w:sz w:val="24"/>
              </w:rPr>
            </w:pPr>
            <w:r>
              <w:rPr>
                <w:rFonts w:ascii="仿宋" w:hAnsi="仿宋" w:eastAsia="仿宋" w:cs="仿宋"/>
                <w:color w:val="000000"/>
                <w:kern w:val="0"/>
                <w:sz w:val="24"/>
              </w:rPr>
              <w:t>1</w:t>
            </w:r>
            <w:r>
              <w:rPr>
                <w:rFonts w:hint="eastAsia" w:ascii="仿宋" w:hAnsi="仿宋" w:eastAsia="仿宋" w:cs="仿宋"/>
                <w:color w:val="000000"/>
                <w:kern w:val="0"/>
                <w:sz w:val="24"/>
              </w:rPr>
              <w:t>、业务工作专项</w:t>
            </w:r>
          </w:p>
        </w:tc>
        <w:tc>
          <w:tcPr>
            <w:tcW w:w="1879" w:type="dxa"/>
            <w:gridSpan w:val="2"/>
            <w:tcBorders>
              <w:top w:val="single" w:color="auto" w:sz="8" w:space="0"/>
              <w:left w:val="nil"/>
              <w:bottom w:val="single" w:color="auto" w:sz="8" w:space="0"/>
              <w:right w:val="single" w:color="000000" w:sz="8" w:space="0"/>
            </w:tcBorders>
            <w:vAlign w:val="center"/>
          </w:tcPr>
          <w:p>
            <w:pPr>
              <w:widowControl/>
              <w:jc w:val="right"/>
              <w:rPr>
                <w:rFonts w:ascii="仿宋" w:hAnsi="仿宋" w:eastAsia="仿宋" w:cs="仿宋"/>
                <w:color w:val="000000"/>
                <w:kern w:val="0"/>
                <w:sz w:val="24"/>
              </w:rPr>
            </w:pPr>
            <w:r>
              <w:rPr>
                <w:rFonts w:ascii="仿宋" w:hAnsi="仿宋" w:eastAsia="仿宋" w:cs="仿宋"/>
                <w:kern w:val="0"/>
                <w:sz w:val="24"/>
              </w:rPr>
              <w:t>2,751,334.44</w:t>
            </w:r>
          </w:p>
        </w:tc>
        <w:tc>
          <w:tcPr>
            <w:tcW w:w="1769" w:type="dxa"/>
            <w:gridSpan w:val="2"/>
            <w:tcBorders>
              <w:top w:val="single" w:color="auto" w:sz="8" w:space="0"/>
              <w:left w:val="nil"/>
              <w:bottom w:val="single" w:color="auto" w:sz="8" w:space="0"/>
              <w:right w:val="single" w:color="000000" w:sz="8" w:space="0"/>
            </w:tcBorders>
            <w:vAlign w:val="center"/>
          </w:tcPr>
          <w:p>
            <w:pPr>
              <w:widowControl/>
              <w:jc w:val="right"/>
              <w:rPr>
                <w:rFonts w:ascii="仿宋" w:hAnsi="仿宋" w:eastAsia="仿宋" w:cs="仿宋"/>
                <w:kern w:val="0"/>
                <w:sz w:val="24"/>
              </w:rPr>
            </w:pPr>
            <w:r>
              <w:rPr>
                <w:rFonts w:ascii="仿宋" w:hAnsi="仿宋" w:eastAsia="仿宋" w:cs="仿宋"/>
                <w:kern w:val="0"/>
                <w:sz w:val="24"/>
              </w:rPr>
              <w:t>1,</w:t>
            </w:r>
            <w:r>
              <w:rPr>
                <w:rFonts w:hint="eastAsia" w:ascii="仿宋" w:hAnsi="仿宋" w:eastAsia="仿宋" w:cs="仿宋"/>
                <w:kern w:val="0"/>
                <w:sz w:val="24"/>
              </w:rPr>
              <w:t>669</w:t>
            </w:r>
            <w:r>
              <w:rPr>
                <w:rFonts w:ascii="仿宋" w:hAnsi="仿宋" w:eastAsia="仿宋" w:cs="仿宋"/>
                <w:kern w:val="0"/>
                <w:sz w:val="24"/>
              </w:rPr>
              <w:t>,</w:t>
            </w:r>
            <w:r>
              <w:rPr>
                <w:rFonts w:hint="eastAsia" w:ascii="仿宋" w:hAnsi="仿宋" w:eastAsia="仿宋" w:cs="仿宋"/>
                <w:kern w:val="0"/>
                <w:sz w:val="24"/>
              </w:rPr>
              <w:t>2</w:t>
            </w:r>
            <w:r>
              <w:rPr>
                <w:rFonts w:ascii="仿宋" w:hAnsi="仿宋" w:eastAsia="仿宋" w:cs="仿宋"/>
                <w:kern w:val="0"/>
                <w:sz w:val="24"/>
              </w:rPr>
              <w:t>00.00</w:t>
            </w:r>
          </w:p>
        </w:tc>
        <w:tc>
          <w:tcPr>
            <w:tcW w:w="1981" w:type="dxa"/>
            <w:gridSpan w:val="2"/>
            <w:tcBorders>
              <w:top w:val="single" w:color="auto" w:sz="8" w:space="0"/>
              <w:left w:val="nil"/>
              <w:bottom w:val="single" w:color="auto" w:sz="8" w:space="0"/>
              <w:right w:val="single" w:color="000000" w:sz="8" w:space="0"/>
            </w:tcBorders>
            <w:vAlign w:val="center"/>
          </w:tcPr>
          <w:p>
            <w:pPr>
              <w:widowControl/>
              <w:jc w:val="right"/>
              <w:rPr>
                <w:rFonts w:ascii="仿宋" w:hAnsi="仿宋" w:eastAsia="仿宋" w:cs="仿宋"/>
                <w:kern w:val="0"/>
                <w:sz w:val="24"/>
              </w:rPr>
            </w:pPr>
            <w:r>
              <w:rPr>
                <w:rFonts w:hint="eastAsia" w:ascii="仿宋" w:hAnsi="仿宋" w:eastAsia="仿宋" w:cs="仿宋"/>
                <w:kern w:val="0"/>
                <w:sz w:val="24"/>
              </w:rPr>
              <w:t>2,741,295.93</w:t>
            </w:r>
          </w:p>
        </w:tc>
      </w:tr>
      <w:tr>
        <w:tblPrEx>
          <w:tblCellMar>
            <w:top w:w="0" w:type="dxa"/>
            <w:left w:w="108" w:type="dxa"/>
            <w:bottom w:w="0" w:type="dxa"/>
            <w:right w:w="108" w:type="dxa"/>
          </w:tblCellMar>
        </w:tblPrEx>
        <w:trPr>
          <w:trHeight w:val="300" w:hRule="atLeast"/>
        </w:trPr>
        <w:tc>
          <w:tcPr>
            <w:tcW w:w="2893" w:type="dxa"/>
            <w:tcBorders>
              <w:top w:val="nil"/>
              <w:left w:val="single" w:color="auto" w:sz="8" w:space="0"/>
              <w:bottom w:val="single" w:color="auto" w:sz="8" w:space="0"/>
              <w:right w:val="single" w:color="auto" w:sz="8" w:space="0"/>
            </w:tcBorders>
            <w:vAlign w:val="center"/>
          </w:tcPr>
          <w:p>
            <w:pPr>
              <w:widowControl/>
              <w:jc w:val="left"/>
              <w:rPr>
                <w:rFonts w:ascii="仿宋" w:hAnsi="仿宋" w:eastAsia="仿宋" w:cs="仿宋"/>
                <w:color w:val="000000"/>
                <w:kern w:val="0"/>
                <w:sz w:val="24"/>
              </w:rPr>
            </w:pPr>
            <w:r>
              <w:rPr>
                <w:rFonts w:ascii="仿宋" w:hAnsi="仿宋" w:eastAsia="仿宋" w:cs="仿宋"/>
                <w:color w:val="000000"/>
                <w:kern w:val="0"/>
                <w:sz w:val="24"/>
              </w:rPr>
              <w:t>2</w:t>
            </w:r>
            <w:r>
              <w:rPr>
                <w:rFonts w:hint="eastAsia" w:ascii="仿宋" w:hAnsi="仿宋" w:eastAsia="仿宋" w:cs="仿宋"/>
                <w:color w:val="000000"/>
                <w:kern w:val="0"/>
                <w:sz w:val="24"/>
              </w:rPr>
              <w:t>、运行维护专项</w:t>
            </w:r>
          </w:p>
        </w:tc>
        <w:tc>
          <w:tcPr>
            <w:tcW w:w="1879" w:type="dxa"/>
            <w:gridSpan w:val="2"/>
            <w:tcBorders>
              <w:top w:val="single" w:color="auto" w:sz="8" w:space="0"/>
              <w:left w:val="nil"/>
              <w:bottom w:val="single" w:color="auto" w:sz="8" w:space="0"/>
              <w:right w:val="single" w:color="000000" w:sz="8" w:space="0"/>
            </w:tcBorders>
            <w:vAlign w:val="center"/>
          </w:tcPr>
          <w:p>
            <w:pPr>
              <w:widowControl/>
              <w:jc w:val="right"/>
              <w:rPr>
                <w:rFonts w:ascii="仿宋" w:hAnsi="仿宋" w:eastAsia="仿宋" w:cs="仿宋"/>
                <w:color w:val="000000"/>
                <w:kern w:val="0"/>
                <w:sz w:val="24"/>
              </w:rPr>
            </w:pPr>
          </w:p>
        </w:tc>
        <w:tc>
          <w:tcPr>
            <w:tcW w:w="1769" w:type="dxa"/>
            <w:gridSpan w:val="2"/>
            <w:tcBorders>
              <w:top w:val="single" w:color="auto" w:sz="8" w:space="0"/>
              <w:left w:val="nil"/>
              <w:bottom w:val="single" w:color="auto" w:sz="8" w:space="0"/>
              <w:right w:val="single" w:color="000000" w:sz="8" w:space="0"/>
            </w:tcBorders>
            <w:vAlign w:val="center"/>
          </w:tcPr>
          <w:p>
            <w:pPr>
              <w:widowControl/>
              <w:jc w:val="right"/>
              <w:rPr>
                <w:rFonts w:ascii="仿宋" w:hAnsi="仿宋" w:eastAsia="仿宋" w:cs="仿宋"/>
                <w:kern w:val="0"/>
                <w:sz w:val="24"/>
              </w:rPr>
            </w:pPr>
          </w:p>
        </w:tc>
        <w:tc>
          <w:tcPr>
            <w:tcW w:w="1981" w:type="dxa"/>
            <w:gridSpan w:val="2"/>
            <w:tcBorders>
              <w:top w:val="single" w:color="auto" w:sz="8" w:space="0"/>
              <w:left w:val="nil"/>
              <w:bottom w:val="single" w:color="auto" w:sz="8" w:space="0"/>
              <w:right w:val="single" w:color="000000" w:sz="8" w:space="0"/>
            </w:tcBorders>
            <w:vAlign w:val="center"/>
          </w:tcPr>
          <w:p>
            <w:pPr>
              <w:widowControl/>
              <w:jc w:val="right"/>
              <w:rPr>
                <w:rFonts w:ascii="仿宋" w:hAnsi="仿宋" w:eastAsia="仿宋" w:cs="仿宋"/>
                <w:color w:val="FF0000"/>
                <w:kern w:val="0"/>
                <w:sz w:val="24"/>
              </w:rPr>
            </w:pPr>
          </w:p>
        </w:tc>
      </w:tr>
      <w:tr>
        <w:tblPrEx>
          <w:tblCellMar>
            <w:top w:w="0" w:type="dxa"/>
            <w:left w:w="108" w:type="dxa"/>
            <w:bottom w:w="0" w:type="dxa"/>
            <w:right w:w="108" w:type="dxa"/>
          </w:tblCellMar>
        </w:tblPrEx>
        <w:trPr>
          <w:trHeight w:val="300" w:hRule="atLeast"/>
        </w:trPr>
        <w:tc>
          <w:tcPr>
            <w:tcW w:w="2893" w:type="dxa"/>
            <w:tcBorders>
              <w:top w:val="nil"/>
              <w:left w:val="single" w:color="auto" w:sz="8" w:space="0"/>
              <w:bottom w:val="single" w:color="auto" w:sz="8" w:space="0"/>
              <w:right w:val="single" w:color="auto" w:sz="8" w:space="0"/>
            </w:tcBorders>
            <w:vAlign w:val="center"/>
          </w:tcPr>
          <w:p>
            <w:pPr>
              <w:widowControl/>
              <w:jc w:val="left"/>
              <w:rPr>
                <w:rFonts w:ascii="仿宋" w:hAnsi="仿宋" w:eastAsia="仿宋" w:cs="仿宋"/>
                <w:color w:val="000000"/>
                <w:kern w:val="0"/>
                <w:sz w:val="24"/>
              </w:rPr>
            </w:pPr>
            <w:r>
              <w:rPr>
                <w:rFonts w:hint="eastAsia" w:ascii="仿宋" w:hAnsi="仿宋" w:eastAsia="仿宋" w:cs="仿宋"/>
                <w:color w:val="000000"/>
                <w:kern w:val="0"/>
                <w:sz w:val="24"/>
              </w:rPr>
              <w:t>……</w:t>
            </w:r>
          </w:p>
        </w:tc>
        <w:tc>
          <w:tcPr>
            <w:tcW w:w="1879" w:type="dxa"/>
            <w:gridSpan w:val="2"/>
            <w:tcBorders>
              <w:top w:val="single" w:color="auto" w:sz="8" w:space="0"/>
              <w:left w:val="nil"/>
              <w:bottom w:val="single" w:color="auto" w:sz="8" w:space="0"/>
              <w:right w:val="single" w:color="000000" w:sz="8" w:space="0"/>
            </w:tcBorders>
            <w:vAlign w:val="center"/>
          </w:tcPr>
          <w:p>
            <w:pPr>
              <w:widowControl/>
              <w:jc w:val="right"/>
              <w:rPr>
                <w:rFonts w:ascii="仿宋" w:hAnsi="仿宋" w:eastAsia="仿宋" w:cs="仿宋"/>
                <w:color w:val="000000"/>
                <w:kern w:val="0"/>
                <w:sz w:val="24"/>
              </w:rPr>
            </w:pPr>
          </w:p>
        </w:tc>
        <w:tc>
          <w:tcPr>
            <w:tcW w:w="1769" w:type="dxa"/>
            <w:gridSpan w:val="2"/>
            <w:tcBorders>
              <w:top w:val="single" w:color="auto" w:sz="8" w:space="0"/>
              <w:left w:val="nil"/>
              <w:bottom w:val="single" w:color="auto" w:sz="8" w:space="0"/>
              <w:right w:val="single" w:color="000000" w:sz="8" w:space="0"/>
            </w:tcBorders>
            <w:vAlign w:val="center"/>
          </w:tcPr>
          <w:p>
            <w:pPr>
              <w:widowControl/>
              <w:jc w:val="right"/>
              <w:rPr>
                <w:rFonts w:ascii="仿宋" w:hAnsi="仿宋" w:eastAsia="仿宋" w:cs="仿宋"/>
                <w:color w:val="FF0000"/>
                <w:kern w:val="0"/>
                <w:sz w:val="24"/>
              </w:rPr>
            </w:pPr>
          </w:p>
        </w:tc>
        <w:tc>
          <w:tcPr>
            <w:tcW w:w="1981" w:type="dxa"/>
            <w:gridSpan w:val="2"/>
            <w:tcBorders>
              <w:top w:val="single" w:color="auto" w:sz="8" w:space="0"/>
              <w:left w:val="nil"/>
              <w:bottom w:val="single" w:color="auto" w:sz="8" w:space="0"/>
              <w:right w:val="single" w:color="000000" w:sz="8" w:space="0"/>
            </w:tcBorders>
            <w:vAlign w:val="center"/>
          </w:tcPr>
          <w:p>
            <w:pPr>
              <w:widowControl/>
              <w:jc w:val="right"/>
              <w:rPr>
                <w:rFonts w:ascii="仿宋" w:hAnsi="仿宋" w:eastAsia="仿宋" w:cs="仿宋"/>
                <w:color w:val="FF0000"/>
                <w:kern w:val="0"/>
                <w:sz w:val="24"/>
              </w:rPr>
            </w:pPr>
          </w:p>
        </w:tc>
      </w:tr>
      <w:tr>
        <w:trPr>
          <w:trHeight w:val="300" w:hRule="atLeast"/>
        </w:trPr>
        <w:tc>
          <w:tcPr>
            <w:tcW w:w="2893" w:type="dxa"/>
            <w:tcBorders>
              <w:top w:val="nil"/>
              <w:left w:val="single" w:color="auto" w:sz="8" w:space="0"/>
              <w:bottom w:val="single" w:color="auto" w:sz="8" w:space="0"/>
              <w:right w:val="single" w:color="auto" w:sz="8" w:space="0"/>
            </w:tcBorders>
            <w:vAlign w:val="center"/>
          </w:tcPr>
          <w:p>
            <w:pPr>
              <w:widowControl/>
              <w:jc w:val="left"/>
              <w:rPr>
                <w:rFonts w:ascii="仿宋" w:hAnsi="仿宋" w:eastAsia="仿宋" w:cs="仿宋"/>
                <w:color w:val="000000"/>
                <w:kern w:val="0"/>
                <w:sz w:val="24"/>
              </w:rPr>
            </w:pPr>
            <w:r>
              <w:rPr>
                <w:rFonts w:hint="eastAsia" w:ascii="仿宋" w:hAnsi="仿宋" w:eastAsia="仿宋" w:cs="仿宋"/>
                <w:color w:val="000000"/>
                <w:kern w:val="0"/>
                <w:sz w:val="24"/>
              </w:rPr>
              <w:t>公用经费</w:t>
            </w:r>
          </w:p>
        </w:tc>
        <w:tc>
          <w:tcPr>
            <w:tcW w:w="1879" w:type="dxa"/>
            <w:gridSpan w:val="2"/>
            <w:tcBorders>
              <w:top w:val="single" w:color="auto" w:sz="8" w:space="0"/>
              <w:left w:val="nil"/>
              <w:bottom w:val="single" w:color="auto" w:sz="8" w:space="0"/>
              <w:right w:val="single" w:color="000000" w:sz="8" w:space="0"/>
            </w:tcBorders>
            <w:vAlign w:val="center"/>
          </w:tcPr>
          <w:p>
            <w:pPr>
              <w:widowControl/>
              <w:jc w:val="right"/>
              <w:rPr>
                <w:rFonts w:ascii="仿宋" w:hAnsi="仿宋" w:eastAsia="仿宋" w:cs="仿宋"/>
                <w:color w:val="000000"/>
                <w:kern w:val="0"/>
                <w:sz w:val="24"/>
              </w:rPr>
            </w:pPr>
            <w:r>
              <w:rPr>
                <w:rFonts w:ascii="仿宋" w:hAnsi="仿宋" w:eastAsia="仿宋" w:cs="仿宋"/>
                <w:kern w:val="0"/>
                <w:sz w:val="24"/>
              </w:rPr>
              <w:t>850,323.19</w:t>
            </w:r>
          </w:p>
        </w:tc>
        <w:tc>
          <w:tcPr>
            <w:tcW w:w="1769" w:type="dxa"/>
            <w:gridSpan w:val="2"/>
            <w:tcBorders>
              <w:top w:val="single" w:color="auto" w:sz="8" w:space="0"/>
              <w:left w:val="nil"/>
              <w:bottom w:val="single" w:color="auto" w:sz="8" w:space="0"/>
              <w:right w:val="single" w:color="000000" w:sz="8" w:space="0"/>
            </w:tcBorders>
            <w:vAlign w:val="center"/>
          </w:tcPr>
          <w:p>
            <w:pPr>
              <w:widowControl/>
              <w:jc w:val="right"/>
              <w:rPr>
                <w:rFonts w:ascii="仿宋" w:hAnsi="仿宋" w:eastAsia="仿宋" w:cs="仿宋"/>
                <w:kern w:val="0"/>
                <w:sz w:val="24"/>
              </w:rPr>
            </w:pPr>
            <w:r>
              <w:rPr>
                <w:rFonts w:hint="eastAsia" w:ascii="仿宋" w:hAnsi="仿宋" w:eastAsia="仿宋" w:cs="仿宋"/>
                <w:kern w:val="0"/>
                <w:sz w:val="24"/>
              </w:rPr>
              <w:t>1,059,400.00</w:t>
            </w:r>
          </w:p>
        </w:tc>
        <w:tc>
          <w:tcPr>
            <w:tcW w:w="1981" w:type="dxa"/>
            <w:gridSpan w:val="2"/>
            <w:tcBorders>
              <w:top w:val="single" w:color="auto" w:sz="8" w:space="0"/>
              <w:left w:val="nil"/>
              <w:bottom w:val="single" w:color="auto" w:sz="8" w:space="0"/>
              <w:right w:val="single" w:color="000000" w:sz="8" w:space="0"/>
            </w:tcBorders>
            <w:vAlign w:val="center"/>
          </w:tcPr>
          <w:p>
            <w:pPr>
              <w:widowControl/>
              <w:jc w:val="right"/>
              <w:rPr>
                <w:rFonts w:ascii="仿宋" w:hAnsi="仿宋" w:eastAsia="仿宋" w:cs="仿宋"/>
                <w:kern w:val="0"/>
                <w:sz w:val="24"/>
              </w:rPr>
            </w:pPr>
            <w:r>
              <w:rPr>
                <w:rFonts w:hint="eastAsia" w:ascii="仿宋" w:hAnsi="仿宋" w:eastAsia="仿宋" w:cs="仿宋"/>
                <w:kern w:val="0"/>
                <w:sz w:val="24"/>
              </w:rPr>
              <w:t>978,648.17</w:t>
            </w:r>
          </w:p>
        </w:tc>
      </w:tr>
      <w:tr>
        <w:tblPrEx>
          <w:tblCellMar>
            <w:top w:w="0" w:type="dxa"/>
            <w:left w:w="108" w:type="dxa"/>
            <w:bottom w:w="0" w:type="dxa"/>
            <w:right w:w="108" w:type="dxa"/>
          </w:tblCellMar>
        </w:tblPrEx>
        <w:trPr>
          <w:trHeight w:val="300" w:hRule="atLeast"/>
        </w:trPr>
        <w:tc>
          <w:tcPr>
            <w:tcW w:w="2893" w:type="dxa"/>
            <w:tcBorders>
              <w:top w:val="nil"/>
              <w:left w:val="single" w:color="auto" w:sz="8" w:space="0"/>
              <w:bottom w:val="single" w:color="auto" w:sz="8" w:space="0"/>
              <w:right w:val="single" w:color="auto" w:sz="8" w:space="0"/>
            </w:tcBorders>
            <w:vAlign w:val="center"/>
          </w:tcPr>
          <w:p>
            <w:pPr>
              <w:widowControl/>
              <w:jc w:val="left"/>
              <w:rPr>
                <w:rFonts w:ascii="仿宋" w:hAnsi="仿宋" w:eastAsia="仿宋" w:cs="仿宋"/>
                <w:color w:val="000000"/>
                <w:kern w:val="0"/>
                <w:sz w:val="24"/>
              </w:rPr>
            </w:pPr>
            <w:r>
              <w:rPr>
                <w:rFonts w:hint="eastAsia" w:ascii="仿宋" w:hAnsi="仿宋" w:eastAsia="仿宋" w:cs="仿宋"/>
                <w:color w:val="000000"/>
                <w:kern w:val="0"/>
                <w:sz w:val="24"/>
              </w:rPr>
              <w:t>其中：办公经费</w:t>
            </w:r>
          </w:p>
        </w:tc>
        <w:tc>
          <w:tcPr>
            <w:tcW w:w="1879" w:type="dxa"/>
            <w:gridSpan w:val="2"/>
            <w:tcBorders>
              <w:top w:val="single" w:color="auto" w:sz="8" w:space="0"/>
              <w:left w:val="nil"/>
              <w:bottom w:val="single" w:color="auto" w:sz="8" w:space="0"/>
              <w:right w:val="single" w:color="000000" w:sz="8" w:space="0"/>
            </w:tcBorders>
            <w:vAlign w:val="center"/>
          </w:tcPr>
          <w:p>
            <w:pPr>
              <w:widowControl/>
              <w:jc w:val="right"/>
              <w:rPr>
                <w:rFonts w:ascii="仿宋" w:hAnsi="仿宋" w:eastAsia="仿宋" w:cs="仿宋"/>
                <w:color w:val="000000"/>
                <w:kern w:val="0"/>
                <w:sz w:val="24"/>
              </w:rPr>
            </w:pPr>
            <w:r>
              <w:rPr>
                <w:rFonts w:ascii="仿宋" w:hAnsi="仿宋" w:eastAsia="仿宋" w:cs="仿宋"/>
                <w:kern w:val="0"/>
                <w:sz w:val="24"/>
              </w:rPr>
              <w:t>384.19</w:t>
            </w:r>
          </w:p>
        </w:tc>
        <w:tc>
          <w:tcPr>
            <w:tcW w:w="1769" w:type="dxa"/>
            <w:gridSpan w:val="2"/>
            <w:tcBorders>
              <w:top w:val="single" w:color="auto" w:sz="8" w:space="0"/>
              <w:left w:val="nil"/>
              <w:bottom w:val="single" w:color="auto" w:sz="8" w:space="0"/>
              <w:right w:val="single" w:color="000000" w:sz="8" w:space="0"/>
            </w:tcBorders>
            <w:vAlign w:val="center"/>
          </w:tcPr>
          <w:p>
            <w:pPr>
              <w:widowControl/>
              <w:jc w:val="right"/>
              <w:rPr>
                <w:rFonts w:ascii="仿宋" w:hAnsi="仿宋" w:eastAsia="仿宋" w:cs="仿宋"/>
                <w:kern w:val="0"/>
                <w:sz w:val="24"/>
              </w:rPr>
            </w:pPr>
            <w:r>
              <w:rPr>
                <w:rFonts w:hint="eastAsia" w:ascii="仿宋" w:hAnsi="仿宋" w:eastAsia="仿宋" w:cs="仿宋"/>
                <w:kern w:val="0"/>
                <w:sz w:val="24"/>
              </w:rPr>
              <w:t>853,900.00</w:t>
            </w:r>
          </w:p>
        </w:tc>
        <w:tc>
          <w:tcPr>
            <w:tcW w:w="1981" w:type="dxa"/>
            <w:gridSpan w:val="2"/>
            <w:tcBorders>
              <w:top w:val="single" w:color="auto" w:sz="8" w:space="0"/>
              <w:left w:val="nil"/>
              <w:bottom w:val="single" w:color="auto" w:sz="8" w:space="0"/>
              <w:right w:val="single" w:color="000000" w:sz="8" w:space="0"/>
            </w:tcBorders>
            <w:vAlign w:val="center"/>
          </w:tcPr>
          <w:p>
            <w:pPr>
              <w:widowControl/>
              <w:jc w:val="right"/>
              <w:rPr>
                <w:rFonts w:ascii="仿宋" w:hAnsi="仿宋" w:eastAsia="仿宋" w:cs="仿宋"/>
                <w:kern w:val="0"/>
                <w:sz w:val="24"/>
              </w:rPr>
            </w:pPr>
            <w:r>
              <w:rPr>
                <w:rFonts w:hint="eastAsia" w:ascii="仿宋" w:hAnsi="仿宋" w:eastAsia="仿宋" w:cs="仿宋"/>
                <w:kern w:val="0"/>
                <w:sz w:val="24"/>
              </w:rPr>
              <w:t>7,745.75</w:t>
            </w:r>
          </w:p>
        </w:tc>
      </w:tr>
      <w:tr>
        <w:tblPrEx>
          <w:tblCellMar>
            <w:top w:w="0" w:type="dxa"/>
            <w:left w:w="108" w:type="dxa"/>
            <w:bottom w:w="0" w:type="dxa"/>
            <w:right w:w="108" w:type="dxa"/>
          </w:tblCellMar>
        </w:tblPrEx>
        <w:trPr>
          <w:trHeight w:val="300" w:hRule="atLeast"/>
        </w:trPr>
        <w:tc>
          <w:tcPr>
            <w:tcW w:w="2893" w:type="dxa"/>
            <w:tcBorders>
              <w:top w:val="nil"/>
              <w:left w:val="single" w:color="auto" w:sz="8" w:space="0"/>
              <w:bottom w:val="single" w:color="auto" w:sz="8" w:space="0"/>
              <w:right w:val="single" w:color="auto" w:sz="8" w:space="0"/>
            </w:tcBorders>
            <w:vAlign w:val="center"/>
          </w:tcPr>
          <w:p>
            <w:pPr>
              <w:widowControl/>
              <w:jc w:val="left"/>
              <w:rPr>
                <w:rFonts w:ascii="仿宋" w:hAnsi="仿宋" w:eastAsia="仿宋" w:cs="仿宋"/>
                <w:color w:val="000000"/>
                <w:kern w:val="0"/>
                <w:sz w:val="18"/>
                <w:szCs w:val="18"/>
              </w:rPr>
            </w:pPr>
            <w:r>
              <w:rPr>
                <w:rFonts w:hint="eastAsia" w:ascii="仿宋" w:hAnsi="仿宋" w:eastAsia="仿宋" w:cs="仿宋"/>
                <w:color w:val="000000"/>
                <w:kern w:val="0"/>
                <w:sz w:val="18"/>
                <w:szCs w:val="18"/>
              </w:rPr>
              <w:t>水费、电费、差旅费</w:t>
            </w:r>
          </w:p>
        </w:tc>
        <w:tc>
          <w:tcPr>
            <w:tcW w:w="1879" w:type="dxa"/>
            <w:gridSpan w:val="2"/>
            <w:tcBorders>
              <w:top w:val="single" w:color="auto" w:sz="8" w:space="0"/>
              <w:left w:val="nil"/>
              <w:bottom w:val="single" w:color="auto" w:sz="8" w:space="0"/>
              <w:right w:val="single" w:color="000000" w:sz="8" w:space="0"/>
            </w:tcBorders>
            <w:vAlign w:val="center"/>
          </w:tcPr>
          <w:p>
            <w:pPr>
              <w:widowControl/>
              <w:jc w:val="right"/>
              <w:rPr>
                <w:rFonts w:ascii="仿宋" w:hAnsi="仿宋" w:eastAsia="仿宋" w:cs="仿宋"/>
                <w:color w:val="000000"/>
                <w:kern w:val="0"/>
                <w:sz w:val="24"/>
              </w:rPr>
            </w:pPr>
            <w:r>
              <w:rPr>
                <w:rFonts w:ascii="仿宋" w:hAnsi="仿宋" w:eastAsia="仿宋" w:cs="仿宋"/>
                <w:kern w:val="0"/>
                <w:sz w:val="24"/>
              </w:rPr>
              <w:t>0.00</w:t>
            </w:r>
          </w:p>
        </w:tc>
        <w:tc>
          <w:tcPr>
            <w:tcW w:w="1769" w:type="dxa"/>
            <w:gridSpan w:val="2"/>
            <w:tcBorders>
              <w:top w:val="single" w:color="auto" w:sz="8" w:space="0"/>
              <w:left w:val="nil"/>
              <w:bottom w:val="single" w:color="auto" w:sz="8" w:space="0"/>
              <w:right w:val="single" w:color="000000" w:sz="8" w:space="0"/>
            </w:tcBorders>
            <w:vAlign w:val="center"/>
          </w:tcPr>
          <w:p>
            <w:pPr>
              <w:widowControl/>
              <w:jc w:val="right"/>
              <w:rPr>
                <w:rFonts w:ascii="仿宋" w:hAnsi="仿宋" w:eastAsia="仿宋" w:cs="仿宋"/>
                <w:kern w:val="0"/>
                <w:sz w:val="24"/>
              </w:rPr>
            </w:pPr>
            <w:r>
              <w:rPr>
                <w:rFonts w:hint="eastAsia" w:ascii="仿宋" w:hAnsi="仿宋" w:eastAsia="仿宋" w:cs="仿宋"/>
                <w:kern w:val="0"/>
                <w:sz w:val="24"/>
              </w:rPr>
              <w:t>30,000.00</w:t>
            </w:r>
          </w:p>
        </w:tc>
        <w:tc>
          <w:tcPr>
            <w:tcW w:w="1981" w:type="dxa"/>
            <w:gridSpan w:val="2"/>
            <w:tcBorders>
              <w:top w:val="single" w:color="auto" w:sz="8" w:space="0"/>
              <w:left w:val="nil"/>
              <w:bottom w:val="single" w:color="auto" w:sz="8" w:space="0"/>
              <w:right w:val="single" w:color="000000" w:sz="8" w:space="0"/>
            </w:tcBorders>
            <w:vAlign w:val="center"/>
          </w:tcPr>
          <w:p>
            <w:pPr>
              <w:widowControl/>
              <w:jc w:val="right"/>
              <w:rPr>
                <w:rFonts w:ascii="仿宋" w:hAnsi="仿宋" w:eastAsia="仿宋" w:cs="仿宋"/>
                <w:kern w:val="0"/>
                <w:sz w:val="24"/>
              </w:rPr>
            </w:pPr>
            <w:r>
              <w:rPr>
                <w:rFonts w:hint="eastAsia" w:ascii="仿宋" w:hAnsi="仿宋" w:eastAsia="仿宋" w:cs="仿宋"/>
                <w:kern w:val="0"/>
                <w:sz w:val="24"/>
              </w:rPr>
              <w:t>31,385.00</w:t>
            </w:r>
          </w:p>
        </w:tc>
      </w:tr>
      <w:tr>
        <w:tblPrEx>
          <w:tblCellMar>
            <w:top w:w="0" w:type="dxa"/>
            <w:left w:w="108" w:type="dxa"/>
            <w:bottom w:w="0" w:type="dxa"/>
            <w:right w:w="108" w:type="dxa"/>
          </w:tblCellMar>
        </w:tblPrEx>
        <w:trPr>
          <w:trHeight w:val="300" w:hRule="atLeast"/>
        </w:trPr>
        <w:tc>
          <w:tcPr>
            <w:tcW w:w="2893" w:type="dxa"/>
            <w:tcBorders>
              <w:top w:val="nil"/>
              <w:left w:val="single" w:color="auto" w:sz="8" w:space="0"/>
              <w:bottom w:val="single" w:color="auto" w:sz="8" w:space="0"/>
              <w:right w:val="single" w:color="auto" w:sz="8" w:space="0"/>
            </w:tcBorders>
            <w:vAlign w:val="center"/>
          </w:tcPr>
          <w:p>
            <w:pPr>
              <w:widowControl/>
              <w:jc w:val="left"/>
              <w:rPr>
                <w:rFonts w:ascii="仿宋" w:hAnsi="仿宋" w:eastAsia="仿宋" w:cs="仿宋"/>
                <w:color w:val="000000"/>
                <w:kern w:val="0"/>
                <w:sz w:val="24"/>
              </w:rPr>
            </w:pPr>
            <w:r>
              <w:rPr>
                <w:rFonts w:hint="eastAsia" w:ascii="仿宋" w:hAnsi="仿宋" w:eastAsia="仿宋" w:cs="仿宋"/>
                <w:color w:val="000000"/>
                <w:kern w:val="0"/>
                <w:sz w:val="24"/>
              </w:rPr>
              <w:t>会议费、培训费</w:t>
            </w:r>
          </w:p>
        </w:tc>
        <w:tc>
          <w:tcPr>
            <w:tcW w:w="1879" w:type="dxa"/>
            <w:gridSpan w:val="2"/>
            <w:tcBorders>
              <w:top w:val="single" w:color="auto" w:sz="8" w:space="0"/>
              <w:left w:val="nil"/>
              <w:bottom w:val="single" w:color="auto" w:sz="8" w:space="0"/>
              <w:right w:val="single" w:color="000000" w:sz="8" w:space="0"/>
            </w:tcBorders>
            <w:vAlign w:val="center"/>
          </w:tcPr>
          <w:p>
            <w:pPr>
              <w:widowControl/>
              <w:jc w:val="right"/>
              <w:rPr>
                <w:rFonts w:ascii="仿宋" w:hAnsi="仿宋" w:eastAsia="仿宋" w:cs="仿宋"/>
                <w:color w:val="000000"/>
                <w:kern w:val="0"/>
                <w:sz w:val="24"/>
              </w:rPr>
            </w:pPr>
            <w:r>
              <w:rPr>
                <w:rFonts w:ascii="仿宋" w:hAnsi="仿宋" w:eastAsia="仿宋" w:cs="仿宋"/>
                <w:kern w:val="0"/>
                <w:sz w:val="24"/>
              </w:rPr>
              <w:t>0.00</w:t>
            </w:r>
          </w:p>
        </w:tc>
        <w:tc>
          <w:tcPr>
            <w:tcW w:w="1769" w:type="dxa"/>
            <w:gridSpan w:val="2"/>
            <w:tcBorders>
              <w:top w:val="single" w:color="auto" w:sz="8" w:space="0"/>
              <w:left w:val="nil"/>
              <w:bottom w:val="single" w:color="auto" w:sz="8" w:space="0"/>
              <w:right w:val="single" w:color="000000" w:sz="8" w:space="0"/>
            </w:tcBorders>
            <w:vAlign w:val="center"/>
          </w:tcPr>
          <w:p>
            <w:pPr>
              <w:widowControl/>
              <w:jc w:val="right"/>
              <w:rPr>
                <w:rFonts w:ascii="仿宋" w:hAnsi="仿宋" w:eastAsia="仿宋" w:cs="仿宋"/>
                <w:kern w:val="0"/>
                <w:sz w:val="24"/>
              </w:rPr>
            </w:pPr>
            <w:r>
              <w:rPr>
                <w:rFonts w:hint="eastAsia" w:ascii="仿宋" w:hAnsi="仿宋" w:eastAsia="仿宋" w:cs="仿宋"/>
                <w:kern w:val="0"/>
                <w:sz w:val="24"/>
              </w:rPr>
              <w:t>70,000.00</w:t>
            </w:r>
          </w:p>
        </w:tc>
        <w:tc>
          <w:tcPr>
            <w:tcW w:w="1981" w:type="dxa"/>
            <w:gridSpan w:val="2"/>
            <w:tcBorders>
              <w:top w:val="single" w:color="auto" w:sz="8" w:space="0"/>
              <w:left w:val="nil"/>
              <w:bottom w:val="single" w:color="auto" w:sz="8" w:space="0"/>
              <w:right w:val="single" w:color="000000" w:sz="8" w:space="0"/>
            </w:tcBorders>
            <w:vAlign w:val="center"/>
          </w:tcPr>
          <w:p>
            <w:pPr>
              <w:widowControl/>
              <w:jc w:val="right"/>
              <w:rPr>
                <w:rFonts w:ascii="仿宋" w:hAnsi="仿宋" w:eastAsia="仿宋" w:cs="仿宋"/>
                <w:kern w:val="0"/>
                <w:sz w:val="24"/>
              </w:rPr>
            </w:pPr>
            <w:r>
              <w:rPr>
                <w:rFonts w:hint="eastAsia" w:ascii="仿宋" w:hAnsi="仿宋" w:eastAsia="仿宋" w:cs="仿宋"/>
                <w:kern w:val="0"/>
                <w:sz w:val="24"/>
              </w:rPr>
              <w:t>0.00</w:t>
            </w:r>
          </w:p>
        </w:tc>
      </w:tr>
      <w:tr>
        <w:trPr>
          <w:trHeight w:val="300" w:hRule="atLeast"/>
        </w:trPr>
        <w:tc>
          <w:tcPr>
            <w:tcW w:w="2893" w:type="dxa"/>
            <w:tcBorders>
              <w:top w:val="nil"/>
              <w:left w:val="single" w:color="auto" w:sz="8" w:space="0"/>
              <w:bottom w:val="single" w:color="auto" w:sz="8" w:space="0"/>
              <w:right w:val="single" w:color="auto" w:sz="8" w:space="0"/>
            </w:tcBorders>
            <w:vAlign w:val="center"/>
          </w:tcPr>
          <w:p>
            <w:pPr>
              <w:widowControl/>
              <w:jc w:val="left"/>
              <w:rPr>
                <w:rFonts w:ascii="仿宋" w:hAnsi="仿宋" w:eastAsia="仿宋" w:cs="仿宋"/>
                <w:color w:val="000000"/>
                <w:kern w:val="0"/>
                <w:sz w:val="24"/>
              </w:rPr>
            </w:pPr>
            <w:r>
              <w:rPr>
                <w:rFonts w:hint="eastAsia" w:ascii="仿宋" w:hAnsi="仿宋" w:eastAsia="仿宋" w:cs="仿宋"/>
                <w:color w:val="000000"/>
                <w:kern w:val="0"/>
                <w:sz w:val="24"/>
              </w:rPr>
              <w:t>政府采购金额</w:t>
            </w:r>
          </w:p>
        </w:tc>
        <w:tc>
          <w:tcPr>
            <w:tcW w:w="1879" w:type="dxa"/>
            <w:gridSpan w:val="2"/>
            <w:tcBorders>
              <w:top w:val="single" w:color="auto" w:sz="8" w:space="0"/>
              <w:left w:val="nil"/>
              <w:bottom w:val="single" w:color="auto" w:sz="8" w:space="0"/>
              <w:right w:val="single" w:color="000000" w:sz="8" w:space="0"/>
            </w:tcBorders>
            <w:vAlign w:val="center"/>
          </w:tcPr>
          <w:p>
            <w:pPr>
              <w:widowControl/>
              <w:jc w:val="right"/>
              <w:rPr>
                <w:rFonts w:ascii="仿宋" w:hAnsi="仿宋" w:eastAsia="仿宋" w:cs="仿宋"/>
                <w:color w:val="000000"/>
                <w:kern w:val="0"/>
                <w:sz w:val="24"/>
              </w:rPr>
            </w:pPr>
          </w:p>
        </w:tc>
        <w:tc>
          <w:tcPr>
            <w:tcW w:w="1769" w:type="dxa"/>
            <w:gridSpan w:val="2"/>
            <w:tcBorders>
              <w:top w:val="single" w:color="auto" w:sz="8" w:space="0"/>
              <w:left w:val="nil"/>
              <w:bottom w:val="single" w:color="auto" w:sz="8" w:space="0"/>
              <w:right w:val="single" w:color="000000" w:sz="8" w:space="0"/>
            </w:tcBorders>
            <w:vAlign w:val="center"/>
          </w:tcPr>
          <w:p>
            <w:pPr>
              <w:widowControl/>
              <w:jc w:val="right"/>
              <w:rPr>
                <w:rFonts w:ascii="仿宋" w:hAnsi="仿宋" w:eastAsia="仿宋" w:cs="仿宋"/>
                <w:kern w:val="0"/>
                <w:sz w:val="24"/>
              </w:rPr>
            </w:pPr>
            <w:r>
              <w:rPr>
                <w:rFonts w:hint="eastAsia" w:ascii="仿宋" w:hAnsi="仿宋" w:eastAsia="仿宋" w:cs="仿宋"/>
                <w:kern w:val="0"/>
                <w:sz w:val="24"/>
              </w:rPr>
              <w:t>122,600.00</w:t>
            </w:r>
          </w:p>
        </w:tc>
        <w:tc>
          <w:tcPr>
            <w:tcW w:w="1981" w:type="dxa"/>
            <w:gridSpan w:val="2"/>
            <w:tcBorders>
              <w:top w:val="single" w:color="auto" w:sz="8" w:space="0"/>
              <w:left w:val="nil"/>
              <w:bottom w:val="single" w:color="auto" w:sz="8" w:space="0"/>
              <w:right w:val="single" w:color="000000" w:sz="8" w:space="0"/>
            </w:tcBorders>
            <w:vAlign w:val="center"/>
          </w:tcPr>
          <w:p>
            <w:pPr>
              <w:widowControl/>
              <w:jc w:val="right"/>
              <w:rPr>
                <w:rFonts w:ascii="仿宋" w:hAnsi="仿宋" w:eastAsia="仿宋" w:cs="仿宋"/>
                <w:kern w:val="0"/>
                <w:sz w:val="24"/>
              </w:rPr>
            </w:pPr>
            <w:r>
              <w:rPr>
                <w:rFonts w:ascii="仿宋" w:hAnsi="仿宋" w:eastAsia="仿宋" w:cs="仿宋"/>
                <w:kern w:val="0"/>
                <w:sz w:val="24"/>
              </w:rPr>
              <w:t>667</w:t>
            </w:r>
            <w:r>
              <w:rPr>
                <w:rFonts w:hint="eastAsia" w:ascii="仿宋" w:hAnsi="仿宋" w:eastAsia="仿宋" w:cs="仿宋"/>
                <w:kern w:val="0"/>
                <w:sz w:val="24"/>
              </w:rPr>
              <w:t>,</w:t>
            </w:r>
            <w:r>
              <w:rPr>
                <w:rFonts w:ascii="仿宋" w:hAnsi="仿宋" w:eastAsia="仿宋" w:cs="仿宋"/>
                <w:kern w:val="0"/>
                <w:sz w:val="24"/>
              </w:rPr>
              <w:t>631.76</w:t>
            </w:r>
          </w:p>
        </w:tc>
      </w:tr>
      <w:tr>
        <w:tblPrEx>
          <w:tblCellMar>
            <w:top w:w="0" w:type="dxa"/>
            <w:left w:w="108" w:type="dxa"/>
            <w:bottom w:w="0" w:type="dxa"/>
            <w:right w:w="108" w:type="dxa"/>
          </w:tblCellMar>
        </w:tblPrEx>
        <w:trPr>
          <w:trHeight w:val="300" w:hRule="atLeast"/>
        </w:trPr>
        <w:tc>
          <w:tcPr>
            <w:tcW w:w="2893" w:type="dxa"/>
            <w:tcBorders>
              <w:top w:val="nil"/>
              <w:left w:val="single" w:color="auto" w:sz="8" w:space="0"/>
              <w:bottom w:val="single" w:color="auto" w:sz="8" w:space="0"/>
              <w:right w:val="single" w:color="auto" w:sz="8" w:space="0"/>
            </w:tcBorders>
            <w:vAlign w:val="center"/>
          </w:tcPr>
          <w:p>
            <w:pPr>
              <w:widowControl/>
              <w:jc w:val="left"/>
              <w:rPr>
                <w:rFonts w:ascii="仿宋" w:hAnsi="仿宋" w:eastAsia="仿宋" w:cs="仿宋"/>
                <w:color w:val="000000"/>
                <w:kern w:val="0"/>
                <w:sz w:val="24"/>
              </w:rPr>
            </w:pPr>
            <w:r>
              <w:rPr>
                <w:rFonts w:hint="eastAsia" w:ascii="仿宋" w:hAnsi="仿宋" w:eastAsia="仿宋" w:cs="仿宋"/>
                <w:color w:val="000000"/>
                <w:kern w:val="0"/>
                <w:sz w:val="24"/>
              </w:rPr>
              <w:t>部门整体支出预算调整</w:t>
            </w:r>
          </w:p>
        </w:tc>
        <w:tc>
          <w:tcPr>
            <w:tcW w:w="1879" w:type="dxa"/>
            <w:gridSpan w:val="2"/>
            <w:tcBorders>
              <w:top w:val="single" w:color="auto" w:sz="8" w:space="0"/>
              <w:left w:val="nil"/>
              <w:bottom w:val="single" w:color="auto" w:sz="8" w:space="0"/>
              <w:right w:val="single" w:color="000000" w:sz="8" w:space="0"/>
            </w:tcBorders>
            <w:vAlign w:val="center"/>
          </w:tcPr>
          <w:p>
            <w:pPr>
              <w:widowControl/>
              <w:jc w:val="right"/>
              <w:rPr>
                <w:rFonts w:ascii="仿宋" w:hAnsi="仿宋" w:eastAsia="仿宋" w:cs="仿宋"/>
                <w:color w:val="000000"/>
                <w:kern w:val="0"/>
                <w:sz w:val="24"/>
              </w:rPr>
            </w:pPr>
          </w:p>
        </w:tc>
        <w:tc>
          <w:tcPr>
            <w:tcW w:w="1769" w:type="dxa"/>
            <w:gridSpan w:val="2"/>
            <w:tcBorders>
              <w:top w:val="single" w:color="auto" w:sz="8" w:space="0"/>
              <w:left w:val="nil"/>
              <w:bottom w:val="single" w:color="auto" w:sz="8" w:space="0"/>
              <w:right w:val="single" w:color="000000" w:sz="8" w:space="0"/>
            </w:tcBorders>
            <w:vAlign w:val="center"/>
          </w:tcPr>
          <w:p>
            <w:pPr>
              <w:widowControl/>
              <w:jc w:val="right"/>
              <w:rPr>
                <w:rFonts w:ascii="仿宋" w:hAnsi="仿宋" w:eastAsia="仿宋" w:cs="仿宋"/>
                <w:color w:val="FF0000"/>
                <w:kern w:val="0"/>
                <w:sz w:val="24"/>
              </w:rPr>
            </w:pPr>
          </w:p>
        </w:tc>
        <w:tc>
          <w:tcPr>
            <w:tcW w:w="1981" w:type="dxa"/>
            <w:gridSpan w:val="2"/>
            <w:tcBorders>
              <w:top w:val="single" w:color="auto" w:sz="8" w:space="0"/>
              <w:left w:val="nil"/>
              <w:bottom w:val="single" w:color="auto" w:sz="8" w:space="0"/>
              <w:right w:val="single" w:color="000000" w:sz="8" w:space="0"/>
            </w:tcBorders>
            <w:vAlign w:val="center"/>
          </w:tcPr>
          <w:p>
            <w:pPr>
              <w:widowControl/>
              <w:jc w:val="right"/>
              <w:rPr>
                <w:rFonts w:ascii="仿宋" w:hAnsi="仿宋" w:eastAsia="仿宋" w:cs="仿宋"/>
                <w:color w:val="FF0000"/>
                <w:kern w:val="0"/>
                <w:sz w:val="24"/>
              </w:rPr>
            </w:pPr>
          </w:p>
        </w:tc>
      </w:tr>
      <w:tr>
        <w:tblPrEx>
          <w:tblCellMar>
            <w:top w:w="0" w:type="dxa"/>
            <w:left w:w="108" w:type="dxa"/>
            <w:bottom w:w="0" w:type="dxa"/>
            <w:right w:w="108" w:type="dxa"/>
          </w:tblCellMar>
        </w:tblPrEx>
        <w:trPr>
          <w:trHeight w:val="570" w:hRule="atLeast"/>
        </w:trPr>
        <w:tc>
          <w:tcPr>
            <w:tcW w:w="2893" w:type="dxa"/>
            <w:tcBorders>
              <w:top w:val="nil"/>
              <w:left w:val="single" w:color="auto" w:sz="8" w:space="0"/>
              <w:bottom w:val="nil"/>
              <w:right w:val="single" w:color="auto" w:sz="8" w:space="0"/>
            </w:tcBorders>
            <w:vAlign w:val="center"/>
          </w:tcPr>
          <w:p>
            <w:pPr>
              <w:widowControl/>
              <w:jc w:val="center"/>
              <w:rPr>
                <w:rFonts w:ascii="仿宋" w:hAnsi="仿宋" w:eastAsia="仿宋" w:cs="仿宋"/>
                <w:color w:val="000000"/>
                <w:kern w:val="0"/>
                <w:sz w:val="24"/>
              </w:rPr>
            </w:pPr>
            <w:r>
              <w:rPr>
                <w:rFonts w:hint="eastAsia" w:ascii="仿宋" w:hAnsi="仿宋" w:eastAsia="仿宋" w:cs="仿宋"/>
                <w:color w:val="000000"/>
                <w:kern w:val="0"/>
                <w:sz w:val="24"/>
              </w:rPr>
              <w:t>楼堂馆所控制情况</w:t>
            </w:r>
          </w:p>
        </w:tc>
        <w:tc>
          <w:tcPr>
            <w:tcW w:w="940" w:type="dxa"/>
            <w:tcBorders>
              <w:top w:val="nil"/>
              <w:left w:val="nil"/>
              <w:bottom w:val="nil"/>
              <w:right w:val="single" w:color="auto" w:sz="8" w:space="0"/>
            </w:tcBorders>
            <w:vAlign w:val="center"/>
          </w:tcPr>
          <w:p>
            <w:pPr>
              <w:widowControl/>
              <w:jc w:val="center"/>
              <w:rPr>
                <w:rFonts w:ascii="仿宋" w:hAnsi="仿宋" w:eastAsia="仿宋" w:cs="仿宋"/>
                <w:b/>
                <w:bCs/>
                <w:color w:val="000000"/>
                <w:kern w:val="0"/>
                <w:sz w:val="24"/>
              </w:rPr>
            </w:pPr>
            <w:r>
              <w:rPr>
                <w:rFonts w:hint="eastAsia" w:ascii="仿宋" w:hAnsi="仿宋" w:eastAsia="仿宋" w:cs="仿宋"/>
                <w:b/>
                <w:bCs/>
                <w:color w:val="000000"/>
                <w:kern w:val="0"/>
                <w:sz w:val="24"/>
              </w:rPr>
              <w:t>批复规模</w:t>
            </w:r>
          </w:p>
        </w:tc>
        <w:tc>
          <w:tcPr>
            <w:tcW w:w="939" w:type="dxa"/>
            <w:tcBorders>
              <w:top w:val="nil"/>
              <w:left w:val="nil"/>
              <w:bottom w:val="nil"/>
              <w:right w:val="single" w:color="auto" w:sz="8" w:space="0"/>
            </w:tcBorders>
            <w:vAlign w:val="center"/>
          </w:tcPr>
          <w:p>
            <w:pPr>
              <w:widowControl/>
              <w:jc w:val="center"/>
              <w:rPr>
                <w:rFonts w:ascii="仿宋" w:hAnsi="仿宋" w:eastAsia="仿宋" w:cs="仿宋"/>
                <w:b/>
                <w:bCs/>
                <w:color w:val="000000"/>
                <w:kern w:val="0"/>
                <w:sz w:val="24"/>
              </w:rPr>
            </w:pPr>
            <w:r>
              <w:rPr>
                <w:rFonts w:hint="eastAsia" w:ascii="仿宋" w:hAnsi="仿宋" w:eastAsia="仿宋" w:cs="仿宋"/>
                <w:b/>
                <w:bCs/>
                <w:color w:val="000000"/>
                <w:kern w:val="0"/>
                <w:sz w:val="24"/>
              </w:rPr>
              <w:t>实际规模</w:t>
            </w:r>
          </w:p>
        </w:tc>
        <w:tc>
          <w:tcPr>
            <w:tcW w:w="797" w:type="dxa"/>
            <w:vMerge w:val="restart"/>
            <w:tcBorders>
              <w:top w:val="nil"/>
              <w:left w:val="single" w:color="auto" w:sz="8" w:space="0"/>
              <w:bottom w:val="single" w:color="000000" w:sz="8" w:space="0"/>
              <w:right w:val="single" w:color="auto" w:sz="8" w:space="0"/>
            </w:tcBorders>
            <w:vAlign w:val="center"/>
          </w:tcPr>
          <w:p>
            <w:pPr>
              <w:widowControl/>
              <w:jc w:val="center"/>
              <w:rPr>
                <w:rFonts w:ascii="仿宋" w:hAnsi="仿宋" w:eastAsia="仿宋" w:cs="仿宋"/>
                <w:b/>
                <w:bCs/>
                <w:color w:val="000000"/>
                <w:kern w:val="0"/>
                <w:sz w:val="24"/>
              </w:rPr>
            </w:pPr>
            <w:r>
              <w:rPr>
                <w:rFonts w:hint="eastAsia" w:ascii="仿宋" w:hAnsi="仿宋" w:eastAsia="仿宋" w:cs="仿宋"/>
                <w:b/>
                <w:bCs/>
                <w:color w:val="000000"/>
                <w:kern w:val="0"/>
                <w:sz w:val="24"/>
              </w:rPr>
              <w:t>规模控制率</w:t>
            </w:r>
          </w:p>
        </w:tc>
        <w:tc>
          <w:tcPr>
            <w:tcW w:w="972" w:type="dxa"/>
            <w:tcBorders>
              <w:top w:val="nil"/>
              <w:left w:val="nil"/>
              <w:bottom w:val="nil"/>
              <w:right w:val="single" w:color="auto" w:sz="8" w:space="0"/>
            </w:tcBorders>
            <w:vAlign w:val="center"/>
          </w:tcPr>
          <w:p>
            <w:pPr>
              <w:widowControl/>
              <w:jc w:val="center"/>
              <w:rPr>
                <w:rFonts w:ascii="仿宋" w:hAnsi="仿宋" w:eastAsia="仿宋" w:cs="仿宋"/>
                <w:b/>
                <w:bCs/>
                <w:color w:val="000000"/>
                <w:kern w:val="0"/>
                <w:sz w:val="24"/>
              </w:rPr>
            </w:pPr>
            <w:r>
              <w:rPr>
                <w:rFonts w:hint="eastAsia" w:ascii="仿宋" w:hAnsi="仿宋" w:eastAsia="仿宋" w:cs="仿宋"/>
                <w:b/>
                <w:bCs/>
                <w:color w:val="000000"/>
                <w:kern w:val="0"/>
                <w:sz w:val="24"/>
              </w:rPr>
              <w:t>预算投资</w:t>
            </w:r>
          </w:p>
        </w:tc>
        <w:tc>
          <w:tcPr>
            <w:tcW w:w="960" w:type="dxa"/>
            <w:tcBorders>
              <w:top w:val="nil"/>
              <w:left w:val="nil"/>
              <w:bottom w:val="nil"/>
              <w:right w:val="single" w:color="auto" w:sz="8" w:space="0"/>
            </w:tcBorders>
            <w:vAlign w:val="center"/>
          </w:tcPr>
          <w:p>
            <w:pPr>
              <w:widowControl/>
              <w:jc w:val="center"/>
              <w:rPr>
                <w:rFonts w:ascii="仿宋" w:hAnsi="仿宋" w:eastAsia="仿宋" w:cs="仿宋"/>
                <w:b/>
                <w:bCs/>
                <w:color w:val="000000"/>
                <w:kern w:val="0"/>
                <w:sz w:val="24"/>
              </w:rPr>
            </w:pPr>
            <w:r>
              <w:rPr>
                <w:rFonts w:hint="eastAsia" w:ascii="仿宋" w:hAnsi="仿宋" w:eastAsia="仿宋" w:cs="仿宋"/>
                <w:b/>
                <w:bCs/>
                <w:color w:val="000000"/>
                <w:kern w:val="0"/>
                <w:sz w:val="24"/>
              </w:rPr>
              <w:t>实际投资</w:t>
            </w:r>
          </w:p>
        </w:tc>
        <w:tc>
          <w:tcPr>
            <w:tcW w:w="1021" w:type="dxa"/>
            <w:vMerge w:val="restart"/>
            <w:tcBorders>
              <w:top w:val="nil"/>
              <w:left w:val="single" w:color="auto" w:sz="8" w:space="0"/>
              <w:bottom w:val="single" w:color="000000" w:sz="8" w:space="0"/>
              <w:right w:val="single" w:color="auto" w:sz="8" w:space="0"/>
            </w:tcBorders>
            <w:vAlign w:val="center"/>
          </w:tcPr>
          <w:p>
            <w:pPr>
              <w:widowControl/>
              <w:jc w:val="center"/>
              <w:rPr>
                <w:rFonts w:ascii="仿宋" w:hAnsi="仿宋" w:eastAsia="仿宋" w:cs="仿宋"/>
                <w:b/>
                <w:bCs/>
                <w:color w:val="000000"/>
                <w:kern w:val="0"/>
                <w:sz w:val="24"/>
              </w:rPr>
            </w:pPr>
            <w:r>
              <w:rPr>
                <w:rFonts w:hint="eastAsia" w:ascii="仿宋" w:hAnsi="仿宋" w:eastAsia="仿宋" w:cs="仿宋"/>
                <w:b/>
                <w:bCs/>
                <w:color w:val="000000"/>
                <w:kern w:val="0"/>
                <w:sz w:val="24"/>
              </w:rPr>
              <w:t>投资概算控制率</w:t>
            </w:r>
          </w:p>
        </w:tc>
      </w:tr>
      <w:tr>
        <w:tblPrEx>
          <w:tblCellMar>
            <w:top w:w="0" w:type="dxa"/>
            <w:left w:w="108" w:type="dxa"/>
            <w:bottom w:w="0" w:type="dxa"/>
            <w:right w:w="108" w:type="dxa"/>
          </w:tblCellMar>
        </w:tblPrEx>
        <w:trPr>
          <w:trHeight w:val="585" w:hRule="atLeast"/>
        </w:trPr>
        <w:tc>
          <w:tcPr>
            <w:tcW w:w="2893" w:type="dxa"/>
            <w:tcBorders>
              <w:top w:val="nil"/>
              <w:left w:val="single" w:color="auto" w:sz="8" w:space="0"/>
              <w:bottom w:val="nil"/>
              <w:right w:val="single" w:color="auto" w:sz="8" w:space="0"/>
            </w:tcBorders>
            <w:vAlign w:val="center"/>
          </w:tcPr>
          <w:p>
            <w:pPr>
              <w:widowControl/>
              <w:jc w:val="center"/>
              <w:rPr>
                <w:rFonts w:ascii="仿宋" w:hAnsi="仿宋" w:eastAsia="仿宋" w:cs="仿宋"/>
                <w:color w:val="000000"/>
                <w:kern w:val="0"/>
                <w:sz w:val="24"/>
              </w:rPr>
            </w:pPr>
            <w:r>
              <w:rPr>
                <w:rFonts w:hint="eastAsia" w:ascii="仿宋" w:hAnsi="仿宋" w:eastAsia="仿宋" w:cs="仿宋"/>
                <w:color w:val="000000"/>
                <w:kern w:val="0"/>
                <w:sz w:val="24"/>
              </w:rPr>
              <w:t>（2019年完工项目）</w:t>
            </w:r>
          </w:p>
        </w:tc>
        <w:tc>
          <w:tcPr>
            <w:tcW w:w="940" w:type="dxa"/>
            <w:tcBorders>
              <w:top w:val="nil"/>
              <w:left w:val="nil"/>
              <w:bottom w:val="single" w:color="auto" w:sz="8" w:space="0"/>
              <w:right w:val="single" w:color="auto" w:sz="8" w:space="0"/>
            </w:tcBorders>
            <w:vAlign w:val="center"/>
          </w:tcPr>
          <w:p>
            <w:pPr>
              <w:widowControl/>
              <w:jc w:val="center"/>
              <w:rPr>
                <w:rFonts w:ascii="仿宋" w:hAnsi="仿宋" w:eastAsia="仿宋" w:cs="仿宋"/>
                <w:b/>
                <w:bCs/>
                <w:color w:val="000000"/>
                <w:kern w:val="0"/>
                <w:sz w:val="24"/>
              </w:rPr>
            </w:pPr>
            <w:r>
              <w:rPr>
                <w:rFonts w:hint="eastAsia" w:ascii="仿宋" w:hAnsi="仿宋" w:eastAsia="仿宋" w:cs="仿宋"/>
                <w:b/>
                <w:bCs/>
                <w:color w:val="000000"/>
                <w:kern w:val="0"/>
                <w:sz w:val="24"/>
              </w:rPr>
              <w:t>（㎡）</w:t>
            </w:r>
          </w:p>
        </w:tc>
        <w:tc>
          <w:tcPr>
            <w:tcW w:w="939" w:type="dxa"/>
            <w:tcBorders>
              <w:top w:val="nil"/>
              <w:left w:val="nil"/>
              <w:bottom w:val="single" w:color="auto" w:sz="8" w:space="0"/>
              <w:right w:val="single" w:color="auto" w:sz="8" w:space="0"/>
            </w:tcBorders>
            <w:vAlign w:val="center"/>
          </w:tcPr>
          <w:p>
            <w:pPr>
              <w:widowControl/>
              <w:jc w:val="center"/>
              <w:rPr>
                <w:rFonts w:ascii="仿宋" w:hAnsi="仿宋" w:eastAsia="仿宋" w:cs="仿宋"/>
                <w:b/>
                <w:bCs/>
                <w:color w:val="000000"/>
                <w:kern w:val="0"/>
                <w:sz w:val="24"/>
              </w:rPr>
            </w:pPr>
            <w:r>
              <w:rPr>
                <w:rFonts w:hint="eastAsia" w:ascii="仿宋" w:hAnsi="仿宋" w:eastAsia="仿宋" w:cs="仿宋"/>
                <w:b/>
                <w:bCs/>
                <w:color w:val="000000"/>
                <w:kern w:val="0"/>
                <w:sz w:val="24"/>
              </w:rPr>
              <w:t>（㎡）</w:t>
            </w:r>
          </w:p>
        </w:tc>
        <w:tc>
          <w:tcPr>
            <w:tcW w:w="797" w:type="dxa"/>
            <w:vMerge w:val="continue"/>
            <w:tcBorders>
              <w:top w:val="nil"/>
              <w:left w:val="single" w:color="auto" w:sz="8" w:space="0"/>
              <w:bottom w:val="single" w:color="000000" w:sz="8" w:space="0"/>
              <w:right w:val="single" w:color="auto" w:sz="8" w:space="0"/>
            </w:tcBorders>
            <w:vAlign w:val="center"/>
          </w:tcPr>
          <w:p>
            <w:pPr>
              <w:widowControl/>
              <w:jc w:val="left"/>
              <w:rPr>
                <w:rFonts w:ascii="仿宋" w:hAnsi="仿宋" w:eastAsia="仿宋" w:cs="仿宋"/>
                <w:b/>
                <w:bCs/>
                <w:color w:val="000000"/>
                <w:kern w:val="0"/>
                <w:sz w:val="24"/>
              </w:rPr>
            </w:pPr>
          </w:p>
        </w:tc>
        <w:tc>
          <w:tcPr>
            <w:tcW w:w="972" w:type="dxa"/>
            <w:tcBorders>
              <w:top w:val="nil"/>
              <w:left w:val="nil"/>
              <w:bottom w:val="single" w:color="auto" w:sz="8" w:space="0"/>
              <w:right w:val="single" w:color="auto" w:sz="8" w:space="0"/>
            </w:tcBorders>
            <w:vAlign w:val="center"/>
          </w:tcPr>
          <w:p>
            <w:pPr>
              <w:widowControl/>
              <w:jc w:val="center"/>
              <w:rPr>
                <w:rFonts w:ascii="仿宋" w:hAnsi="仿宋" w:eastAsia="仿宋" w:cs="仿宋"/>
                <w:b/>
                <w:bCs/>
                <w:color w:val="000000"/>
                <w:kern w:val="0"/>
                <w:sz w:val="24"/>
              </w:rPr>
            </w:pPr>
            <w:r>
              <w:rPr>
                <w:rFonts w:hint="eastAsia" w:ascii="仿宋" w:hAnsi="仿宋" w:eastAsia="仿宋" w:cs="仿宋"/>
                <w:b/>
                <w:bCs/>
                <w:color w:val="000000"/>
                <w:kern w:val="0"/>
                <w:sz w:val="24"/>
              </w:rPr>
              <w:t>（万元）</w:t>
            </w:r>
          </w:p>
        </w:tc>
        <w:tc>
          <w:tcPr>
            <w:tcW w:w="960" w:type="dxa"/>
            <w:tcBorders>
              <w:top w:val="nil"/>
              <w:left w:val="nil"/>
              <w:bottom w:val="single" w:color="auto" w:sz="8" w:space="0"/>
              <w:right w:val="single" w:color="auto" w:sz="8" w:space="0"/>
            </w:tcBorders>
            <w:vAlign w:val="center"/>
          </w:tcPr>
          <w:p>
            <w:pPr>
              <w:widowControl/>
              <w:jc w:val="center"/>
              <w:rPr>
                <w:rFonts w:ascii="仿宋" w:hAnsi="仿宋" w:eastAsia="仿宋" w:cs="仿宋"/>
                <w:b/>
                <w:bCs/>
                <w:color w:val="000000"/>
                <w:kern w:val="0"/>
                <w:sz w:val="24"/>
              </w:rPr>
            </w:pPr>
            <w:r>
              <w:rPr>
                <w:rFonts w:hint="eastAsia" w:ascii="仿宋" w:hAnsi="仿宋" w:eastAsia="仿宋" w:cs="仿宋"/>
                <w:b/>
                <w:bCs/>
                <w:color w:val="000000"/>
                <w:kern w:val="0"/>
                <w:sz w:val="24"/>
              </w:rPr>
              <w:t>（万元）</w:t>
            </w:r>
          </w:p>
        </w:tc>
        <w:tc>
          <w:tcPr>
            <w:tcW w:w="1021" w:type="dxa"/>
            <w:vMerge w:val="continue"/>
            <w:tcBorders>
              <w:top w:val="nil"/>
              <w:left w:val="single" w:color="auto" w:sz="8" w:space="0"/>
              <w:bottom w:val="single" w:color="000000" w:sz="8" w:space="0"/>
              <w:right w:val="single" w:color="auto" w:sz="8" w:space="0"/>
            </w:tcBorders>
            <w:vAlign w:val="center"/>
          </w:tcPr>
          <w:p>
            <w:pPr>
              <w:widowControl/>
              <w:jc w:val="left"/>
              <w:rPr>
                <w:rFonts w:ascii="仿宋" w:hAnsi="仿宋" w:eastAsia="仿宋" w:cs="仿宋"/>
                <w:b/>
                <w:bCs/>
                <w:color w:val="000000"/>
                <w:kern w:val="0"/>
                <w:sz w:val="24"/>
              </w:rPr>
            </w:pPr>
          </w:p>
        </w:tc>
      </w:tr>
      <w:tr>
        <w:trPr>
          <w:trHeight w:val="300" w:hRule="atLeast"/>
        </w:trPr>
        <w:tc>
          <w:tcPr>
            <w:tcW w:w="2893" w:type="dxa"/>
            <w:tcBorders>
              <w:top w:val="nil"/>
              <w:left w:val="single" w:color="auto" w:sz="8" w:space="0"/>
              <w:bottom w:val="single" w:color="auto" w:sz="8" w:space="0"/>
              <w:right w:val="single" w:color="auto" w:sz="8" w:space="0"/>
            </w:tcBorders>
            <w:vAlign w:val="center"/>
          </w:tcPr>
          <w:p>
            <w:pPr>
              <w:widowControl/>
              <w:jc w:val="left"/>
              <w:rPr>
                <w:rFonts w:ascii="仿宋" w:hAnsi="仿宋" w:eastAsia="仿宋" w:cs="仿宋"/>
                <w:color w:val="000000"/>
                <w:kern w:val="0"/>
                <w:sz w:val="22"/>
              </w:rPr>
            </w:pPr>
            <w:r>
              <w:rPr>
                <w:rFonts w:hint="eastAsia" w:ascii="仿宋" w:hAnsi="仿宋" w:eastAsia="仿宋" w:cs="仿宋"/>
                <w:color w:val="000000"/>
                <w:kern w:val="0"/>
                <w:sz w:val="22"/>
              </w:rPr>
              <w:t>　</w:t>
            </w:r>
          </w:p>
        </w:tc>
        <w:tc>
          <w:tcPr>
            <w:tcW w:w="940" w:type="dxa"/>
            <w:tcBorders>
              <w:top w:val="nil"/>
              <w:left w:val="nil"/>
              <w:bottom w:val="single" w:color="auto" w:sz="8" w:space="0"/>
              <w:right w:val="single" w:color="auto" w:sz="8" w:space="0"/>
            </w:tcBorders>
            <w:vAlign w:val="center"/>
          </w:tcPr>
          <w:p>
            <w:pPr>
              <w:widowControl/>
              <w:jc w:val="center"/>
              <w:rPr>
                <w:rFonts w:ascii="仿宋" w:hAnsi="仿宋" w:eastAsia="仿宋" w:cs="仿宋"/>
                <w:color w:val="000000"/>
                <w:kern w:val="0"/>
                <w:sz w:val="24"/>
              </w:rPr>
            </w:pPr>
            <w:r>
              <w:rPr>
                <w:rFonts w:hint="eastAsia" w:ascii="仿宋" w:hAnsi="仿宋" w:eastAsia="仿宋" w:cs="仿宋"/>
                <w:color w:val="000000"/>
                <w:kern w:val="0"/>
                <w:sz w:val="24"/>
              </w:rPr>
              <w:t>　</w:t>
            </w:r>
          </w:p>
        </w:tc>
        <w:tc>
          <w:tcPr>
            <w:tcW w:w="939" w:type="dxa"/>
            <w:tcBorders>
              <w:top w:val="nil"/>
              <w:left w:val="nil"/>
              <w:bottom w:val="single" w:color="auto" w:sz="8" w:space="0"/>
              <w:right w:val="single" w:color="auto" w:sz="8" w:space="0"/>
            </w:tcBorders>
            <w:vAlign w:val="center"/>
          </w:tcPr>
          <w:p>
            <w:pPr>
              <w:widowControl/>
              <w:jc w:val="left"/>
              <w:rPr>
                <w:rFonts w:ascii="仿宋" w:hAnsi="仿宋" w:eastAsia="仿宋" w:cs="仿宋"/>
                <w:color w:val="000000"/>
                <w:kern w:val="0"/>
                <w:sz w:val="24"/>
              </w:rPr>
            </w:pPr>
            <w:r>
              <w:rPr>
                <w:rFonts w:hint="eastAsia" w:ascii="仿宋" w:hAnsi="仿宋" w:eastAsia="仿宋" w:cs="仿宋"/>
                <w:color w:val="000000"/>
                <w:kern w:val="0"/>
                <w:sz w:val="24"/>
              </w:rPr>
              <w:t>　</w:t>
            </w:r>
          </w:p>
        </w:tc>
        <w:tc>
          <w:tcPr>
            <w:tcW w:w="797" w:type="dxa"/>
            <w:tcBorders>
              <w:top w:val="nil"/>
              <w:left w:val="nil"/>
              <w:bottom w:val="single" w:color="auto" w:sz="8" w:space="0"/>
              <w:right w:val="single" w:color="auto" w:sz="8" w:space="0"/>
            </w:tcBorders>
            <w:vAlign w:val="center"/>
          </w:tcPr>
          <w:p>
            <w:pPr>
              <w:widowControl/>
              <w:jc w:val="left"/>
              <w:rPr>
                <w:rFonts w:ascii="仿宋" w:hAnsi="仿宋" w:eastAsia="仿宋" w:cs="仿宋"/>
                <w:color w:val="000000"/>
                <w:kern w:val="0"/>
                <w:sz w:val="24"/>
              </w:rPr>
            </w:pPr>
            <w:r>
              <w:rPr>
                <w:rFonts w:hint="eastAsia" w:ascii="仿宋" w:hAnsi="仿宋" w:eastAsia="仿宋" w:cs="仿宋"/>
                <w:color w:val="000000"/>
                <w:kern w:val="0"/>
                <w:sz w:val="24"/>
              </w:rPr>
              <w:t>　</w:t>
            </w:r>
          </w:p>
        </w:tc>
        <w:tc>
          <w:tcPr>
            <w:tcW w:w="972" w:type="dxa"/>
            <w:tcBorders>
              <w:top w:val="nil"/>
              <w:left w:val="nil"/>
              <w:bottom w:val="single" w:color="auto" w:sz="8" w:space="0"/>
              <w:right w:val="single" w:color="auto" w:sz="8" w:space="0"/>
            </w:tcBorders>
            <w:vAlign w:val="center"/>
          </w:tcPr>
          <w:p>
            <w:pPr>
              <w:widowControl/>
              <w:jc w:val="left"/>
              <w:rPr>
                <w:rFonts w:ascii="仿宋" w:hAnsi="仿宋" w:eastAsia="仿宋" w:cs="仿宋"/>
                <w:color w:val="000000"/>
                <w:kern w:val="0"/>
                <w:sz w:val="24"/>
              </w:rPr>
            </w:pPr>
            <w:r>
              <w:rPr>
                <w:rFonts w:hint="eastAsia" w:ascii="仿宋" w:hAnsi="仿宋" w:eastAsia="仿宋" w:cs="仿宋"/>
                <w:color w:val="000000"/>
                <w:kern w:val="0"/>
                <w:sz w:val="24"/>
              </w:rPr>
              <w:t>　</w:t>
            </w:r>
          </w:p>
        </w:tc>
        <w:tc>
          <w:tcPr>
            <w:tcW w:w="960" w:type="dxa"/>
            <w:tcBorders>
              <w:top w:val="nil"/>
              <w:left w:val="nil"/>
              <w:bottom w:val="single" w:color="auto" w:sz="8" w:space="0"/>
              <w:right w:val="single" w:color="auto" w:sz="8" w:space="0"/>
            </w:tcBorders>
            <w:vAlign w:val="center"/>
          </w:tcPr>
          <w:p>
            <w:pPr>
              <w:widowControl/>
              <w:jc w:val="left"/>
              <w:rPr>
                <w:rFonts w:ascii="仿宋" w:hAnsi="仿宋" w:eastAsia="仿宋" w:cs="仿宋"/>
                <w:color w:val="000000"/>
                <w:kern w:val="0"/>
                <w:sz w:val="24"/>
              </w:rPr>
            </w:pPr>
            <w:r>
              <w:rPr>
                <w:rFonts w:hint="eastAsia" w:ascii="仿宋" w:hAnsi="仿宋" w:eastAsia="仿宋" w:cs="仿宋"/>
                <w:color w:val="000000"/>
                <w:kern w:val="0"/>
                <w:sz w:val="24"/>
              </w:rPr>
              <w:t>　</w:t>
            </w:r>
          </w:p>
        </w:tc>
        <w:tc>
          <w:tcPr>
            <w:tcW w:w="1021" w:type="dxa"/>
            <w:tcBorders>
              <w:top w:val="nil"/>
              <w:left w:val="nil"/>
              <w:bottom w:val="single" w:color="auto" w:sz="8" w:space="0"/>
              <w:right w:val="single" w:color="auto" w:sz="8" w:space="0"/>
            </w:tcBorders>
            <w:vAlign w:val="center"/>
          </w:tcPr>
          <w:p>
            <w:pPr>
              <w:widowControl/>
              <w:jc w:val="left"/>
              <w:rPr>
                <w:rFonts w:ascii="仿宋" w:hAnsi="仿宋" w:eastAsia="仿宋" w:cs="仿宋"/>
                <w:color w:val="000000"/>
                <w:kern w:val="0"/>
                <w:sz w:val="24"/>
              </w:rPr>
            </w:pPr>
            <w:r>
              <w:rPr>
                <w:rFonts w:hint="eastAsia" w:ascii="仿宋" w:hAnsi="仿宋" w:eastAsia="仿宋" w:cs="仿宋"/>
                <w:color w:val="000000"/>
                <w:kern w:val="0"/>
                <w:sz w:val="24"/>
              </w:rPr>
              <w:t>　</w:t>
            </w:r>
          </w:p>
        </w:tc>
      </w:tr>
      <w:tr>
        <w:tblPrEx>
          <w:tblCellMar>
            <w:top w:w="0" w:type="dxa"/>
            <w:left w:w="108" w:type="dxa"/>
            <w:bottom w:w="0" w:type="dxa"/>
            <w:right w:w="108" w:type="dxa"/>
          </w:tblCellMar>
        </w:tblPrEx>
        <w:trPr>
          <w:trHeight w:val="300" w:hRule="atLeast"/>
        </w:trPr>
        <w:tc>
          <w:tcPr>
            <w:tcW w:w="2893" w:type="dxa"/>
            <w:tcBorders>
              <w:top w:val="nil"/>
              <w:left w:val="single" w:color="auto" w:sz="8" w:space="0"/>
              <w:bottom w:val="single" w:color="auto" w:sz="8" w:space="0"/>
              <w:right w:val="single" w:color="auto" w:sz="8" w:space="0"/>
            </w:tcBorders>
            <w:vAlign w:val="center"/>
          </w:tcPr>
          <w:p>
            <w:pPr>
              <w:widowControl/>
              <w:jc w:val="center"/>
              <w:rPr>
                <w:rFonts w:ascii="仿宋" w:hAnsi="仿宋" w:eastAsia="仿宋" w:cs="仿宋"/>
                <w:color w:val="000000"/>
                <w:kern w:val="0"/>
                <w:sz w:val="24"/>
              </w:rPr>
            </w:pPr>
            <w:r>
              <w:rPr>
                <w:rFonts w:hint="eastAsia" w:ascii="仿宋" w:hAnsi="仿宋" w:eastAsia="仿宋" w:cs="仿宋"/>
                <w:color w:val="000000"/>
                <w:kern w:val="0"/>
                <w:sz w:val="24"/>
              </w:rPr>
              <w:t>厉行节约保障措施</w:t>
            </w:r>
          </w:p>
        </w:tc>
        <w:tc>
          <w:tcPr>
            <w:tcW w:w="5629" w:type="dxa"/>
            <w:gridSpan w:val="6"/>
            <w:tcBorders>
              <w:top w:val="single" w:color="auto" w:sz="8" w:space="0"/>
              <w:left w:val="nil"/>
              <w:bottom w:val="single" w:color="auto" w:sz="8" w:space="0"/>
              <w:right w:val="single" w:color="000000" w:sz="8" w:space="0"/>
            </w:tcBorders>
            <w:vAlign w:val="center"/>
          </w:tcPr>
          <w:p>
            <w:pPr>
              <w:widowControl/>
              <w:jc w:val="center"/>
              <w:rPr>
                <w:rFonts w:ascii="仿宋" w:hAnsi="仿宋" w:eastAsia="仿宋" w:cs="仿宋"/>
                <w:color w:val="000000"/>
                <w:kern w:val="0"/>
                <w:sz w:val="24"/>
              </w:rPr>
            </w:pPr>
            <w:r>
              <w:rPr>
                <w:rFonts w:hint="eastAsia" w:ascii="仿宋" w:hAnsi="仿宋" w:eastAsia="仿宋" w:cs="仿宋"/>
                <w:color w:val="000000"/>
                <w:kern w:val="0"/>
                <w:sz w:val="24"/>
              </w:rPr>
              <w:t>　</w:t>
            </w:r>
          </w:p>
        </w:tc>
      </w:tr>
      <w:tr>
        <w:tblPrEx>
          <w:tblCellMar>
            <w:top w:w="0" w:type="dxa"/>
            <w:left w:w="108" w:type="dxa"/>
            <w:bottom w:w="0" w:type="dxa"/>
            <w:right w:w="108" w:type="dxa"/>
          </w:tblCellMar>
        </w:tblPrEx>
        <w:trPr>
          <w:trHeight w:val="810" w:hRule="atLeast"/>
        </w:trPr>
        <w:tc>
          <w:tcPr>
            <w:tcW w:w="8522" w:type="dxa"/>
            <w:gridSpan w:val="7"/>
            <w:tcBorders>
              <w:top w:val="single" w:color="auto" w:sz="8" w:space="0"/>
              <w:left w:val="nil"/>
              <w:bottom w:val="nil"/>
              <w:right w:val="nil"/>
            </w:tcBorders>
            <w:vAlign w:val="center"/>
          </w:tcPr>
          <w:p>
            <w:pPr>
              <w:widowControl/>
              <w:jc w:val="left"/>
              <w:rPr>
                <w:rFonts w:ascii="仿宋" w:hAnsi="仿宋" w:eastAsia="仿宋" w:cs="仿宋"/>
                <w:color w:val="000000"/>
                <w:kern w:val="0"/>
                <w:sz w:val="22"/>
              </w:rPr>
            </w:pPr>
            <w:r>
              <w:rPr>
                <w:rFonts w:hint="eastAsia" w:ascii="仿宋" w:hAnsi="仿宋" w:eastAsia="仿宋" w:cs="仿宋"/>
                <w:color w:val="000000"/>
                <w:kern w:val="0"/>
                <w:sz w:val="22"/>
              </w:rPr>
              <w:t>说明：“项目支出”需要填报除专项资金和基本支出以外的所有项目情况，包括业务工作项目、运行维护项目等；“公用经费”填报基本支出中的一般商品和服务支出。</w:t>
            </w:r>
          </w:p>
        </w:tc>
      </w:tr>
    </w:tbl>
    <w:p>
      <w:pPr>
        <w:widowControl/>
        <w:jc w:val="left"/>
        <w:rPr>
          <w:rFonts w:ascii="仿宋" w:hAnsi="仿宋" w:eastAsia="仿宋" w:cs="仿宋"/>
          <w:sz w:val="28"/>
          <w:szCs w:val="28"/>
        </w:rPr>
      </w:pPr>
    </w:p>
    <w:p>
      <w:pPr>
        <w:widowControl/>
        <w:jc w:val="left"/>
        <w:rPr>
          <w:rFonts w:ascii="仿宋" w:hAnsi="仿宋" w:eastAsia="仿宋" w:cs="仿宋"/>
          <w:sz w:val="28"/>
          <w:szCs w:val="28"/>
        </w:rPr>
      </w:pPr>
    </w:p>
    <w:p>
      <w:pPr>
        <w:widowControl/>
        <w:jc w:val="left"/>
        <w:rPr>
          <w:rFonts w:ascii="仿宋" w:hAnsi="仿宋" w:eastAsia="仿宋" w:cs="仿宋"/>
          <w:sz w:val="28"/>
          <w:szCs w:val="28"/>
        </w:rPr>
      </w:pPr>
    </w:p>
    <w:p>
      <w:pPr>
        <w:widowControl/>
        <w:jc w:val="left"/>
        <w:rPr>
          <w:rFonts w:ascii="仿宋" w:hAnsi="仿宋" w:eastAsia="仿宋" w:cs="仿宋"/>
          <w:sz w:val="28"/>
          <w:szCs w:val="28"/>
        </w:rPr>
      </w:pPr>
    </w:p>
    <w:p>
      <w:pPr>
        <w:widowControl/>
        <w:jc w:val="left"/>
        <w:rPr>
          <w:rFonts w:ascii="仿宋" w:hAnsi="仿宋" w:eastAsia="仿宋" w:cs="仿宋"/>
          <w:sz w:val="28"/>
          <w:szCs w:val="28"/>
        </w:rPr>
      </w:pPr>
    </w:p>
    <w:p>
      <w:pPr>
        <w:pStyle w:val="3"/>
        <w:rPr>
          <w:rFonts w:ascii="仿宋" w:hAnsi="仿宋" w:eastAsia="仿宋" w:cs="仿宋"/>
        </w:rPr>
      </w:pPr>
      <w:bookmarkStart w:id="26" w:name="_Toc14013"/>
      <w:bookmarkStart w:id="27" w:name="_Toc31562"/>
      <w:r>
        <w:rPr>
          <w:rFonts w:hint="eastAsia" w:ascii="仿宋" w:hAnsi="仿宋" w:eastAsia="仿宋" w:cs="仿宋"/>
        </w:rPr>
        <w:t>附件2部门整体支出绩效自评共性指标表</w:t>
      </w:r>
      <w:bookmarkEnd w:id="26"/>
      <w:bookmarkEnd w:id="27"/>
    </w:p>
    <w:tbl>
      <w:tblPr>
        <w:tblStyle w:val="14"/>
        <w:tblpPr w:leftFromText="180" w:rightFromText="180" w:vertAnchor="text" w:horzAnchor="page" w:tblpX="1124" w:tblpY="156"/>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16"/>
        <w:gridCol w:w="418"/>
        <w:gridCol w:w="677"/>
        <w:gridCol w:w="415"/>
        <w:gridCol w:w="816"/>
        <w:gridCol w:w="523"/>
        <w:gridCol w:w="2853"/>
        <w:gridCol w:w="2999"/>
        <w:gridCol w:w="53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516" w:type="dxa"/>
          </w:tcPr>
          <w:p>
            <w:pPr>
              <w:pStyle w:val="23"/>
              <w:spacing w:before="25" w:line="292" w:lineRule="auto"/>
              <w:ind w:left="155" w:right="149"/>
              <w:rPr>
                <w:rFonts w:ascii="黑体" w:eastAsia="黑体"/>
                <w:sz w:val="20"/>
              </w:rPr>
            </w:pPr>
            <w:r>
              <w:rPr>
                <w:rFonts w:hint="eastAsia" w:ascii="黑体" w:eastAsia="黑体"/>
                <w:sz w:val="20"/>
              </w:rPr>
              <w:t>一级指</w:t>
            </w:r>
          </w:p>
          <w:p>
            <w:pPr>
              <w:pStyle w:val="23"/>
              <w:spacing w:line="254" w:lineRule="exact"/>
              <w:ind w:left="155"/>
              <w:rPr>
                <w:rFonts w:ascii="黑体" w:eastAsia="黑体"/>
                <w:sz w:val="20"/>
              </w:rPr>
            </w:pPr>
            <w:r>
              <w:rPr>
                <w:rFonts w:hint="eastAsia" w:ascii="黑体" w:eastAsia="黑体"/>
                <w:w w:val="99"/>
                <w:sz w:val="20"/>
              </w:rPr>
              <w:t>标</w:t>
            </w:r>
          </w:p>
        </w:tc>
        <w:tc>
          <w:tcPr>
            <w:tcW w:w="418" w:type="dxa"/>
          </w:tcPr>
          <w:p>
            <w:pPr>
              <w:pStyle w:val="23"/>
              <w:spacing w:before="4"/>
              <w:rPr>
                <w:sz w:val="26"/>
              </w:rPr>
            </w:pPr>
          </w:p>
          <w:p>
            <w:pPr>
              <w:pStyle w:val="23"/>
              <w:spacing w:line="292" w:lineRule="auto"/>
              <w:ind w:left="107" w:right="99"/>
              <w:rPr>
                <w:rFonts w:ascii="黑体" w:eastAsia="黑体"/>
                <w:sz w:val="20"/>
              </w:rPr>
            </w:pPr>
            <w:r>
              <w:rPr>
                <w:rFonts w:hint="eastAsia" w:ascii="黑体" w:eastAsia="黑体"/>
                <w:sz w:val="20"/>
              </w:rPr>
              <w:t>分值</w:t>
            </w:r>
          </w:p>
        </w:tc>
        <w:tc>
          <w:tcPr>
            <w:tcW w:w="677" w:type="dxa"/>
          </w:tcPr>
          <w:p>
            <w:pPr>
              <w:pStyle w:val="23"/>
              <w:spacing w:before="4"/>
              <w:rPr>
                <w:sz w:val="26"/>
              </w:rPr>
            </w:pPr>
          </w:p>
          <w:p>
            <w:pPr>
              <w:pStyle w:val="23"/>
              <w:spacing w:line="292" w:lineRule="auto"/>
              <w:ind w:left="136" w:right="130"/>
              <w:rPr>
                <w:rFonts w:ascii="黑体" w:eastAsia="黑体"/>
                <w:sz w:val="20"/>
              </w:rPr>
            </w:pPr>
            <w:r>
              <w:rPr>
                <w:rFonts w:hint="eastAsia" w:ascii="黑体" w:eastAsia="黑体"/>
                <w:sz w:val="20"/>
              </w:rPr>
              <w:t>二级指标</w:t>
            </w:r>
          </w:p>
        </w:tc>
        <w:tc>
          <w:tcPr>
            <w:tcW w:w="415" w:type="dxa"/>
          </w:tcPr>
          <w:p>
            <w:pPr>
              <w:pStyle w:val="23"/>
              <w:spacing w:before="4"/>
              <w:rPr>
                <w:sz w:val="26"/>
              </w:rPr>
            </w:pPr>
          </w:p>
          <w:p>
            <w:pPr>
              <w:pStyle w:val="23"/>
              <w:spacing w:line="292" w:lineRule="auto"/>
              <w:ind w:left="104" w:right="99"/>
              <w:rPr>
                <w:rFonts w:ascii="黑体" w:eastAsia="黑体"/>
                <w:sz w:val="20"/>
              </w:rPr>
            </w:pPr>
            <w:r>
              <w:rPr>
                <w:rFonts w:hint="eastAsia" w:ascii="黑体" w:eastAsia="黑体"/>
                <w:sz w:val="20"/>
              </w:rPr>
              <w:t>分值</w:t>
            </w:r>
          </w:p>
        </w:tc>
        <w:tc>
          <w:tcPr>
            <w:tcW w:w="816" w:type="dxa"/>
          </w:tcPr>
          <w:p>
            <w:pPr>
              <w:pStyle w:val="23"/>
              <w:spacing w:before="4"/>
              <w:rPr>
                <w:sz w:val="26"/>
              </w:rPr>
            </w:pPr>
          </w:p>
          <w:p>
            <w:pPr>
              <w:pStyle w:val="23"/>
              <w:spacing w:line="292" w:lineRule="auto"/>
              <w:ind w:left="205" w:right="201"/>
              <w:rPr>
                <w:rFonts w:ascii="黑体" w:eastAsia="黑体"/>
                <w:sz w:val="20"/>
              </w:rPr>
            </w:pPr>
            <w:r>
              <w:rPr>
                <w:rFonts w:hint="eastAsia" w:ascii="黑体" w:eastAsia="黑体"/>
                <w:sz w:val="20"/>
              </w:rPr>
              <w:t>三级指标</w:t>
            </w:r>
          </w:p>
        </w:tc>
        <w:tc>
          <w:tcPr>
            <w:tcW w:w="523" w:type="dxa"/>
          </w:tcPr>
          <w:p>
            <w:pPr>
              <w:pStyle w:val="23"/>
              <w:spacing w:before="4"/>
              <w:rPr>
                <w:sz w:val="26"/>
              </w:rPr>
            </w:pPr>
          </w:p>
          <w:p>
            <w:pPr>
              <w:pStyle w:val="23"/>
              <w:spacing w:line="292" w:lineRule="auto"/>
              <w:ind w:left="160" w:right="151"/>
              <w:rPr>
                <w:rFonts w:ascii="黑体" w:eastAsia="黑体"/>
                <w:sz w:val="20"/>
              </w:rPr>
            </w:pPr>
            <w:r>
              <w:rPr>
                <w:rFonts w:hint="eastAsia" w:ascii="黑体" w:eastAsia="黑体"/>
                <w:sz w:val="20"/>
              </w:rPr>
              <w:t>分值</w:t>
            </w:r>
          </w:p>
        </w:tc>
        <w:tc>
          <w:tcPr>
            <w:tcW w:w="2853" w:type="dxa"/>
          </w:tcPr>
          <w:p>
            <w:pPr>
              <w:pStyle w:val="23"/>
              <w:rPr>
                <w:sz w:val="20"/>
              </w:rPr>
            </w:pPr>
          </w:p>
          <w:p>
            <w:pPr>
              <w:pStyle w:val="23"/>
              <w:spacing w:before="6"/>
              <w:rPr>
                <w:sz w:val="18"/>
              </w:rPr>
            </w:pPr>
          </w:p>
          <w:p>
            <w:pPr>
              <w:pStyle w:val="23"/>
              <w:ind w:left="1003" w:right="999"/>
              <w:jc w:val="center"/>
              <w:rPr>
                <w:rFonts w:ascii="黑体" w:eastAsia="黑体"/>
                <w:sz w:val="20"/>
              </w:rPr>
            </w:pPr>
            <w:r>
              <w:rPr>
                <w:rFonts w:hint="eastAsia" w:ascii="黑体" w:eastAsia="黑体"/>
                <w:sz w:val="20"/>
              </w:rPr>
              <w:t>评价标准</w:t>
            </w:r>
          </w:p>
        </w:tc>
        <w:tc>
          <w:tcPr>
            <w:tcW w:w="2999" w:type="dxa"/>
          </w:tcPr>
          <w:p>
            <w:pPr>
              <w:pStyle w:val="23"/>
              <w:rPr>
                <w:sz w:val="20"/>
              </w:rPr>
            </w:pPr>
          </w:p>
          <w:p>
            <w:pPr>
              <w:pStyle w:val="23"/>
              <w:spacing w:before="6"/>
              <w:rPr>
                <w:sz w:val="18"/>
              </w:rPr>
            </w:pPr>
          </w:p>
          <w:p>
            <w:pPr>
              <w:pStyle w:val="23"/>
              <w:ind w:left="1076" w:right="1072"/>
              <w:jc w:val="center"/>
              <w:rPr>
                <w:rFonts w:ascii="黑体" w:eastAsia="黑体"/>
                <w:sz w:val="20"/>
              </w:rPr>
            </w:pPr>
            <w:r>
              <w:rPr>
                <w:rFonts w:hint="eastAsia" w:ascii="黑体" w:eastAsia="黑体"/>
                <w:sz w:val="20"/>
              </w:rPr>
              <w:t>指标说明</w:t>
            </w:r>
          </w:p>
        </w:tc>
        <w:tc>
          <w:tcPr>
            <w:tcW w:w="532" w:type="dxa"/>
          </w:tcPr>
          <w:p>
            <w:pPr>
              <w:pStyle w:val="23"/>
              <w:spacing w:before="4"/>
              <w:rPr>
                <w:sz w:val="26"/>
              </w:rPr>
            </w:pPr>
          </w:p>
          <w:p>
            <w:pPr>
              <w:pStyle w:val="23"/>
              <w:spacing w:line="292" w:lineRule="auto"/>
              <w:ind w:left="166" w:right="154"/>
              <w:rPr>
                <w:rFonts w:ascii="黑体" w:eastAsia="黑体"/>
                <w:sz w:val="20"/>
              </w:rPr>
            </w:pPr>
            <w:r>
              <w:rPr>
                <w:rFonts w:hint="eastAsia" w:ascii="黑体" w:eastAsia="黑体"/>
                <w:sz w:val="20"/>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2" w:hRule="atLeast"/>
        </w:trPr>
        <w:tc>
          <w:tcPr>
            <w:tcW w:w="516" w:type="dxa"/>
            <w:vMerge w:val="restart"/>
          </w:tcPr>
          <w:p>
            <w:pPr>
              <w:pStyle w:val="23"/>
              <w:rPr>
                <w:sz w:val="20"/>
              </w:rPr>
            </w:pPr>
          </w:p>
          <w:p>
            <w:pPr>
              <w:pStyle w:val="23"/>
              <w:rPr>
                <w:sz w:val="20"/>
              </w:rPr>
            </w:pPr>
          </w:p>
          <w:p>
            <w:pPr>
              <w:pStyle w:val="23"/>
              <w:rPr>
                <w:sz w:val="20"/>
              </w:rPr>
            </w:pPr>
          </w:p>
          <w:p>
            <w:pPr>
              <w:pStyle w:val="23"/>
              <w:rPr>
                <w:sz w:val="20"/>
              </w:rPr>
            </w:pPr>
          </w:p>
          <w:p>
            <w:pPr>
              <w:pStyle w:val="23"/>
              <w:rPr>
                <w:sz w:val="20"/>
              </w:rPr>
            </w:pPr>
          </w:p>
          <w:p>
            <w:pPr>
              <w:pStyle w:val="23"/>
              <w:rPr>
                <w:sz w:val="20"/>
              </w:rPr>
            </w:pPr>
          </w:p>
          <w:p>
            <w:pPr>
              <w:pStyle w:val="23"/>
              <w:rPr>
                <w:sz w:val="20"/>
              </w:rPr>
            </w:pPr>
          </w:p>
          <w:p>
            <w:pPr>
              <w:pStyle w:val="23"/>
              <w:rPr>
                <w:sz w:val="20"/>
              </w:rPr>
            </w:pPr>
          </w:p>
          <w:p>
            <w:pPr>
              <w:pStyle w:val="23"/>
              <w:rPr>
                <w:sz w:val="20"/>
              </w:rPr>
            </w:pPr>
          </w:p>
          <w:p>
            <w:pPr>
              <w:pStyle w:val="23"/>
              <w:rPr>
                <w:sz w:val="20"/>
              </w:rPr>
            </w:pPr>
          </w:p>
          <w:p>
            <w:pPr>
              <w:pStyle w:val="23"/>
              <w:rPr>
                <w:sz w:val="20"/>
              </w:rPr>
            </w:pPr>
          </w:p>
          <w:p>
            <w:pPr>
              <w:pStyle w:val="23"/>
              <w:rPr>
                <w:sz w:val="20"/>
              </w:rPr>
            </w:pPr>
          </w:p>
          <w:p>
            <w:pPr>
              <w:pStyle w:val="23"/>
              <w:rPr>
                <w:sz w:val="20"/>
              </w:rPr>
            </w:pPr>
          </w:p>
          <w:p>
            <w:pPr>
              <w:pStyle w:val="23"/>
              <w:rPr>
                <w:sz w:val="20"/>
              </w:rPr>
            </w:pPr>
          </w:p>
          <w:p>
            <w:pPr>
              <w:pStyle w:val="23"/>
              <w:rPr>
                <w:sz w:val="20"/>
              </w:rPr>
            </w:pPr>
          </w:p>
          <w:p>
            <w:pPr>
              <w:pStyle w:val="23"/>
              <w:rPr>
                <w:sz w:val="20"/>
              </w:rPr>
            </w:pPr>
          </w:p>
          <w:p>
            <w:pPr>
              <w:pStyle w:val="23"/>
              <w:rPr>
                <w:sz w:val="20"/>
              </w:rPr>
            </w:pPr>
          </w:p>
          <w:p>
            <w:pPr>
              <w:pStyle w:val="23"/>
              <w:spacing w:before="8"/>
              <w:rPr>
                <w:sz w:val="17"/>
              </w:rPr>
            </w:pPr>
          </w:p>
          <w:p>
            <w:pPr>
              <w:pStyle w:val="23"/>
              <w:spacing w:before="1" w:line="264" w:lineRule="auto"/>
              <w:ind w:left="155" w:right="149"/>
              <w:rPr>
                <w:sz w:val="20"/>
              </w:rPr>
            </w:pPr>
            <w:r>
              <w:rPr>
                <w:sz w:val="20"/>
              </w:rPr>
              <w:t>投入</w:t>
            </w:r>
          </w:p>
        </w:tc>
        <w:tc>
          <w:tcPr>
            <w:tcW w:w="418" w:type="dxa"/>
            <w:vMerge w:val="restart"/>
          </w:tcPr>
          <w:p>
            <w:pPr>
              <w:pStyle w:val="23"/>
              <w:rPr>
                <w:sz w:val="22"/>
              </w:rPr>
            </w:pPr>
          </w:p>
          <w:p>
            <w:pPr>
              <w:pStyle w:val="23"/>
              <w:rPr>
                <w:sz w:val="22"/>
              </w:rPr>
            </w:pPr>
          </w:p>
          <w:p>
            <w:pPr>
              <w:pStyle w:val="23"/>
              <w:rPr>
                <w:sz w:val="22"/>
              </w:rPr>
            </w:pPr>
          </w:p>
          <w:p>
            <w:pPr>
              <w:pStyle w:val="23"/>
              <w:rPr>
                <w:sz w:val="22"/>
              </w:rPr>
            </w:pPr>
          </w:p>
          <w:p>
            <w:pPr>
              <w:pStyle w:val="23"/>
              <w:rPr>
                <w:sz w:val="22"/>
              </w:rPr>
            </w:pPr>
          </w:p>
          <w:p>
            <w:pPr>
              <w:pStyle w:val="23"/>
              <w:rPr>
                <w:sz w:val="22"/>
              </w:rPr>
            </w:pPr>
          </w:p>
          <w:p>
            <w:pPr>
              <w:pStyle w:val="23"/>
              <w:rPr>
                <w:sz w:val="22"/>
              </w:rPr>
            </w:pPr>
          </w:p>
          <w:p>
            <w:pPr>
              <w:pStyle w:val="23"/>
              <w:rPr>
                <w:sz w:val="22"/>
              </w:rPr>
            </w:pPr>
          </w:p>
          <w:p>
            <w:pPr>
              <w:pStyle w:val="23"/>
              <w:rPr>
                <w:sz w:val="22"/>
              </w:rPr>
            </w:pPr>
          </w:p>
          <w:p>
            <w:pPr>
              <w:pStyle w:val="23"/>
              <w:rPr>
                <w:sz w:val="22"/>
              </w:rPr>
            </w:pPr>
          </w:p>
          <w:p>
            <w:pPr>
              <w:pStyle w:val="23"/>
              <w:rPr>
                <w:sz w:val="22"/>
              </w:rPr>
            </w:pPr>
          </w:p>
          <w:p>
            <w:pPr>
              <w:pStyle w:val="23"/>
              <w:rPr>
                <w:sz w:val="22"/>
              </w:rPr>
            </w:pPr>
          </w:p>
          <w:p>
            <w:pPr>
              <w:pStyle w:val="23"/>
              <w:rPr>
                <w:sz w:val="22"/>
              </w:rPr>
            </w:pPr>
          </w:p>
          <w:p>
            <w:pPr>
              <w:pStyle w:val="23"/>
              <w:rPr>
                <w:sz w:val="22"/>
              </w:rPr>
            </w:pPr>
          </w:p>
          <w:p>
            <w:pPr>
              <w:pStyle w:val="23"/>
              <w:rPr>
                <w:sz w:val="22"/>
              </w:rPr>
            </w:pPr>
          </w:p>
          <w:p>
            <w:pPr>
              <w:pStyle w:val="23"/>
              <w:rPr>
                <w:sz w:val="22"/>
              </w:rPr>
            </w:pPr>
          </w:p>
          <w:p>
            <w:pPr>
              <w:pStyle w:val="23"/>
              <w:spacing w:before="7"/>
              <w:rPr>
                <w:sz w:val="17"/>
              </w:rPr>
            </w:pPr>
          </w:p>
          <w:p>
            <w:pPr>
              <w:pStyle w:val="23"/>
              <w:ind w:left="107"/>
              <w:rPr>
                <w:rFonts w:ascii="Times New Roman"/>
                <w:sz w:val="20"/>
              </w:rPr>
            </w:pPr>
            <w:r>
              <w:rPr>
                <w:rFonts w:ascii="Times New Roman"/>
                <w:sz w:val="20"/>
              </w:rPr>
              <w:t>18</w:t>
            </w:r>
          </w:p>
        </w:tc>
        <w:tc>
          <w:tcPr>
            <w:tcW w:w="677" w:type="dxa"/>
          </w:tcPr>
          <w:p>
            <w:pPr>
              <w:pStyle w:val="23"/>
              <w:rPr>
                <w:sz w:val="20"/>
              </w:rPr>
            </w:pPr>
          </w:p>
          <w:p>
            <w:pPr>
              <w:pStyle w:val="23"/>
              <w:rPr>
                <w:sz w:val="20"/>
              </w:rPr>
            </w:pPr>
          </w:p>
          <w:p>
            <w:pPr>
              <w:pStyle w:val="23"/>
              <w:rPr>
                <w:sz w:val="20"/>
              </w:rPr>
            </w:pPr>
          </w:p>
          <w:p>
            <w:pPr>
              <w:pStyle w:val="23"/>
              <w:rPr>
                <w:sz w:val="20"/>
              </w:rPr>
            </w:pPr>
          </w:p>
          <w:p>
            <w:pPr>
              <w:pStyle w:val="23"/>
              <w:rPr>
                <w:sz w:val="20"/>
              </w:rPr>
            </w:pPr>
          </w:p>
          <w:p>
            <w:pPr>
              <w:pStyle w:val="23"/>
              <w:spacing w:before="162" w:line="264" w:lineRule="auto"/>
              <w:ind w:left="136" w:right="130"/>
              <w:rPr>
                <w:sz w:val="20"/>
              </w:rPr>
            </w:pPr>
            <w:r>
              <w:rPr>
                <w:sz w:val="20"/>
              </w:rPr>
              <w:t>目标设定</w:t>
            </w:r>
          </w:p>
        </w:tc>
        <w:tc>
          <w:tcPr>
            <w:tcW w:w="415" w:type="dxa"/>
          </w:tcPr>
          <w:p>
            <w:pPr>
              <w:pStyle w:val="23"/>
              <w:rPr>
                <w:sz w:val="22"/>
              </w:rPr>
            </w:pPr>
          </w:p>
          <w:p>
            <w:pPr>
              <w:pStyle w:val="23"/>
              <w:rPr>
                <w:sz w:val="22"/>
              </w:rPr>
            </w:pPr>
          </w:p>
          <w:p>
            <w:pPr>
              <w:pStyle w:val="23"/>
              <w:rPr>
                <w:sz w:val="22"/>
              </w:rPr>
            </w:pPr>
          </w:p>
          <w:p>
            <w:pPr>
              <w:pStyle w:val="23"/>
              <w:rPr>
                <w:sz w:val="22"/>
              </w:rPr>
            </w:pPr>
          </w:p>
          <w:p>
            <w:pPr>
              <w:pStyle w:val="23"/>
              <w:rPr>
                <w:sz w:val="22"/>
              </w:rPr>
            </w:pPr>
          </w:p>
          <w:p>
            <w:pPr>
              <w:pStyle w:val="23"/>
              <w:spacing w:before="187"/>
              <w:ind w:left="4"/>
              <w:jc w:val="center"/>
              <w:rPr>
                <w:rFonts w:ascii="Times New Roman"/>
                <w:sz w:val="20"/>
              </w:rPr>
            </w:pPr>
            <w:r>
              <w:rPr>
                <w:rFonts w:ascii="Times New Roman"/>
                <w:w w:val="99"/>
                <w:sz w:val="20"/>
              </w:rPr>
              <w:t>5</w:t>
            </w:r>
          </w:p>
        </w:tc>
        <w:tc>
          <w:tcPr>
            <w:tcW w:w="816" w:type="dxa"/>
          </w:tcPr>
          <w:p>
            <w:pPr>
              <w:pStyle w:val="23"/>
              <w:rPr>
                <w:sz w:val="20"/>
              </w:rPr>
            </w:pPr>
          </w:p>
          <w:p>
            <w:pPr>
              <w:pStyle w:val="23"/>
              <w:rPr>
                <w:sz w:val="20"/>
              </w:rPr>
            </w:pPr>
          </w:p>
          <w:p>
            <w:pPr>
              <w:pStyle w:val="23"/>
              <w:rPr>
                <w:sz w:val="20"/>
              </w:rPr>
            </w:pPr>
          </w:p>
          <w:p>
            <w:pPr>
              <w:pStyle w:val="23"/>
              <w:rPr>
                <w:sz w:val="20"/>
              </w:rPr>
            </w:pPr>
          </w:p>
          <w:p>
            <w:pPr>
              <w:pStyle w:val="23"/>
              <w:spacing w:before="10"/>
            </w:pPr>
          </w:p>
          <w:p>
            <w:pPr>
              <w:pStyle w:val="23"/>
              <w:spacing w:line="261" w:lineRule="auto"/>
              <w:ind w:left="105" w:right="99" w:firstLine="100"/>
              <w:rPr>
                <w:sz w:val="20"/>
              </w:rPr>
            </w:pPr>
            <w:r>
              <w:rPr>
                <w:sz w:val="20"/>
              </w:rPr>
              <w:t>绩效目标合理性</w:t>
            </w:r>
          </w:p>
        </w:tc>
        <w:tc>
          <w:tcPr>
            <w:tcW w:w="523" w:type="dxa"/>
          </w:tcPr>
          <w:p>
            <w:pPr>
              <w:pStyle w:val="23"/>
              <w:rPr>
                <w:sz w:val="22"/>
              </w:rPr>
            </w:pPr>
          </w:p>
          <w:p>
            <w:pPr>
              <w:pStyle w:val="23"/>
              <w:rPr>
                <w:sz w:val="22"/>
              </w:rPr>
            </w:pPr>
          </w:p>
          <w:p>
            <w:pPr>
              <w:pStyle w:val="23"/>
              <w:rPr>
                <w:sz w:val="22"/>
              </w:rPr>
            </w:pPr>
          </w:p>
          <w:p>
            <w:pPr>
              <w:pStyle w:val="23"/>
              <w:rPr>
                <w:sz w:val="22"/>
              </w:rPr>
            </w:pPr>
          </w:p>
          <w:p>
            <w:pPr>
              <w:pStyle w:val="23"/>
              <w:rPr>
                <w:sz w:val="22"/>
              </w:rPr>
            </w:pPr>
          </w:p>
          <w:p>
            <w:pPr>
              <w:pStyle w:val="23"/>
              <w:spacing w:before="187"/>
              <w:ind w:left="7"/>
              <w:jc w:val="center"/>
              <w:rPr>
                <w:rFonts w:ascii="Times New Roman"/>
                <w:sz w:val="20"/>
              </w:rPr>
            </w:pPr>
            <w:r>
              <w:rPr>
                <w:rFonts w:ascii="Times New Roman"/>
                <w:w w:val="99"/>
                <w:sz w:val="20"/>
              </w:rPr>
              <w:t>5</w:t>
            </w:r>
          </w:p>
        </w:tc>
        <w:tc>
          <w:tcPr>
            <w:tcW w:w="2853" w:type="dxa"/>
          </w:tcPr>
          <w:p>
            <w:pPr>
              <w:pStyle w:val="23"/>
              <w:spacing w:before="184"/>
              <w:ind w:left="105"/>
              <w:rPr>
                <w:sz w:val="20"/>
              </w:rPr>
            </w:pPr>
            <w:r>
              <w:rPr>
                <w:sz w:val="20"/>
              </w:rPr>
              <w:t>①有目标，计</w:t>
            </w:r>
            <w:r>
              <w:rPr>
                <w:rFonts w:ascii="Times New Roman" w:hAnsi="Times New Roman" w:eastAsia="Times New Roman"/>
                <w:sz w:val="20"/>
              </w:rPr>
              <w:t>1</w:t>
            </w:r>
            <w:r>
              <w:rPr>
                <w:sz w:val="20"/>
              </w:rPr>
              <w:t>分；</w:t>
            </w:r>
          </w:p>
          <w:p>
            <w:pPr>
              <w:pStyle w:val="23"/>
              <w:spacing w:before="24" w:line="261" w:lineRule="auto"/>
              <w:ind w:left="105" w:right="-15"/>
              <w:rPr>
                <w:sz w:val="20"/>
              </w:rPr>
            </w:pPr>
            <w:r>
              <w:rPr>
                <w:sz w:val="20"/>
              </w:rPr>
              <w:t>②目标明确，细化量化良好，</w:t>
            </w:r>
            <w:r>
              <w:rPr>
                <w:spacing w:val="18"/>
                <w:sz w:val="20"/>
              </w:rPr>
              <w:t>个性指标中量化指标超过</w:t>
            </w:r>
            <w:r>
              <w:rPr>
                <w:rFonts w:ascii="Times New Roman" w:hAnsi="Times New Roman" w:eastAsia="Times New Roman"/>
                <w:sz w:val="20"/>
              </w:rPr>
              <w:t>3</w:t>
            </w:r>
            <w:r>
              <w:rPr>
                <w:spacing w:val="-22"/>
                <w:sz w:val="20"/>
              </w:rPr>
              <w:t>个，计</w:t>
            </w:r>
            <w:r>
              <w:rPr>
                <w:rFonts w:ascii="Times New Roman" w:hAnsi="Times New Roman" w:eastAsia="Times New Roman"/>
                <w:sz w:val="20"/>
              </w:rPr>
              <w:t>1</w:t>
            </w:r>
            <w:r>
              <w:rPr>
                <w:spacing w:val="-12"/>
                <w:sz w:val="20"/>
              </w:rPr>
              <w:t>分，量化指标为</w:t>
            </w:r>
            <w:r>
              <w:rPr>
                <w:rFonts w:ascii="Times New Roman" w:hAnsi="Times New Roman" w:eastAsia="Times New Roman"/>
                <w:sz w:val="20"/>
              </w:rPr>
              <w:t>2</w:t>
            </w:r>
            <w:r>
              <w:rPr>
                <w:sz w:val="20"/>
              </w:rPr>
              <w:t>个，</w:t>
            </w:r>
            <w:r>
              <w:rPr>
                <w:spacing w:val="-24"/>
                <w:sz w:val="20"/>
              </w:rPr>
              <w:t>计</w:t>
            </w:r>
            <w:r>
              <w:rPr>
                <w:rFonts w:ascii="Times New Roman" w:hAnsi="Times New Roman" w:eastAsia="Times New Roman"/>
                <w:sz w:val="20"/>
              </w:rPr>
              <w:t>0.5</w:t>
            </w:r>
            <w:r>
              <w:rPr>
                <w:sz w:val="20"/>
              </w:rPr>
              <w:t>分，</w:t>
            </w:r>
            <w:r>
              <w:rPr>
                <w:rFonts w:ascii="Times New Roman" w:hAnsi="Times New Roman" w:eastAsia="Times New Roman"/>
                <w:sz w:val="20"/>
              </w:rPr>
              <w:t>2</w:t>
            </w:r>
            <w:r>
              <w:rPr>
                <w:sz w:val="20"/>
              </w:rPr>
              <w:t>个以下不计分；</w:t>
            </w:r>
          </w:p>
          <w:p>
            <w:pPr>
              <w:pStyle w:val="23"/>
              <w:spacing w:before="1" w:line="264" w:lineRule="auto"/>
              <w:ind w:left="105" w:right="52"/>
              <w:rPr>
                <w:sz w:val="20"/>
              </w:rPr>
            </w:pPr>
            <w:r>
              <w:rPr>
                <w:sz w:val="20"/>
              </w:rPr>
              <w:t>③与年度任务数或计划数相对应，计</w:t>
            </w:r>
            <w:r>
              <w:rPr>
                <w:rFonts w:ascii="Times New Roman" w:hAnsi="Times New Roman" w:eastAsia="Times New Roman"/>
                <w:sz w:val="20"/>
              </w:rPr>
              <w:t>1</w:t>
            </w:r>
            <w:r>
              <w:rPr>
                <w:sz w:val="20"/>
              </w:rPr>
              <w:t>分，未与年度任务数</w:t>
            </w:r>
          </w:p>
          <w:p>
            <w:pPr>
              <w:pStyle w:val="23"/>
              <w:spacing w:line="254" w:lineRule="exact"/>
              <w:ind w:left="105"/>
              <w:rPr>
                <w:sz w:val="20"/>
              </w:rPr>
            </w:pPr>
            <w:r>
              <w:rPr>
                <w:sz w:val="20"/>
              </w:rPr>
              <w:t>或计划数相对应，计</w:t>
            </w:r>
            <w:r>
              <w:rPr>
                <w:rFonts w:ascii="Times New Roman" w:eastAsia="Times New Roman"/>
                <w:sz w:val="20"/>
              </w:rPr>
              <w:t>0</w:t>
            </w:r>
            <w:r>
              <w:rPr>
                <w:sz w:val="20"/>
              </w:rPr>
              <w:t>分；</w:t>
            </w:r>
          </w:p>
          <w:p>
            <w:pPr>
              <w:pStyle w:val="23"/>
              <w:spacing w:before="22" w:line="264" w:lineRule="auto"/>
              <w:ind w:left="105" w:right="43"/>
              <w:rPr>
                <w:sz w:val="20"/>
              </w:rPr>
            </w:pPr>
            <w:r>
              <w:rPr>
                <w:sz w:val="20"/>
              </w:rPr>
              <w:t>④目标与资金匹配良好，逻辑</w:t>
            </w:r>
            <w:r>
              <w:rPr>
                <w:spacing w:val="-6"/>
                <w:sz w:val="20"/>
              </w:rPr>
              <w:t>关系明确，计</w:t>
            </w:r>
            <w:r>
              <w:rPr>
                <w:rFonts w:ascii="Times New Roman" w:hAnsi="Times New Roman" w:eastAsia="Times New Roman"/>
                <w:sz w:val="20"/>
              </w:rPr>
              <w:t>2</w:t>
            </w:r>
            <w:r>
              <w:rPr>
                <w:spacing w:val="1"/>
                <w:sz w:val="20"/>
              </w:rPr>
              <w:t>分，存在明显</w:t>
            </w:r>
            <w:r>
              <w:rPr>
                <w:spacing w:val="-19"/>
                <w:sz w:val="20"/>
              </w:rPr>
              <w:t>错误和资金匹配性较差的计</w:t>
            </w:r>
            <w:r>
              <w:rPr>
                <w:rFonts w:ascii="Times New Roman" w:hAnsi="Times New Roman" w:eastAsia="Times New Roman"/>
                <w:sz w:val="20"/>
              </w:rPr>
              <w:t>0</w:t>
            </w:r>
            <w:r>
              <w:rPr>
                <w:spacing w:val="-17"/>
                <w:sz w:val="20"/>
              </w:rPr>
              <w:t>分。</w:t>
            </w:r>
          </w:p>
        </w:tc>
        <w:tc>
          <w:tcPr>
            <w:tcW w:w="2999" w:type="dxa"/>
          </w:tcPr>
          <w:p>
            <w:pPr>
              <w:pStyle w:val="23"/>
              <w:rPr>
                <w:sz w:val="20"/>
              </w:rPr>
            </w:pPr>
          </w:p>
          <w:p>
            <w:pPr>
              <w:pStyle w:val="23"/>
              <w:rPr>
                <w:sz w:val="20"/>
              </w:rPr>
            </w:pPr>
          </w:p>
          <w:p>
            <w:pPr>
              <w:pStyle w:val="23"/>
              <w:rPr>
                <w:sz w:val="20"/>
              </w:rPr>
            </w:pPr>
          </w:p>
          <w:p>
            <w:pPr>
              <w:pStyle w:val="23"/>
              <w:rPr>
                <w:sz w:val="20"/>
              </w:rPr>
            </w:pPr>
          </w:p>
          <w:p>
            <w:pPr>
              <w:pStyle w:val="23"/>
              <w:spacing w:before="138" w:line="261" w:lineRule="auto"/>
              <w:ind w:left="105" w:right="96"/>
              <w:rPr>
                <w:sz w:val="20"/>
              </w:rPr>
            </w:pPr>
            <w:r>
              <w:rPr>
                <w:spacing w:val="11"/>
                <w:sz w:val="20"/>
              </w:rPr>
              <w:t>依据绩效目标设定的绩效指标</w:t>
            </w:r>
            <w:r>
              <w:rPr>
                <w:spacing w:val="-4"/>
                <w:sz w:val="20"/>
              </w:rPr>
              <w:t>是否清晰、细化、可衡量等，用</w:t>
            </w:r>
            <w:r>
              <w:rPr>
                <w:spacing w:val="11"/>
                <w:sz w:val="20"/>
              </w:rPr>
              <w:t>以反映和考核项目绩效目标的</w:t>
            </w:r>
            <w:r>
              <w:rPr>
                <w:sz w:val="20"/>
              </w:rPr>
              <w:t>明细化情况。</w:t>
            </w:r>
          </w:p>
        </w:tc>
        <w:tc>
          <w:tcPr>
            <w:tcW w:w="532" w:type="dxa"/>
            <w:vAlign w:val="center"/>
          </w:tcPr>
          <w:p>
            <w:pPr>
              <w:pStyle w:val="23"/>
              <w:jc w:val="center"/>
              <w:rPr>
                <w:rFonts w:ascii="Times New Roman"/>
                <w:sz w:val="20"/>
                <w:lang w:val="en-US"/>
              </w:rPr>
            </w:pPr>
            <w:r>
              <w:rPr>
                <w:rFonts w:hint="eastAsia" w:ascii="Times New Roman"/>
                <w:sz w:val="20"/>
                <w:lang w:val="en-US"/>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7" w:hRule="atLeast"/>
        </w:trPr>
        <w:tc>
          <w:tcPr>
            <w:tcW w:w="516" w:type="dxa"/>
            <w:vMerge w:val="continue"/>
            <w:tcBorders>
              <w:top w:val="nil"/>
            </w:tcBorders>
          </w:tcPr>
          <w:p>
            <w:pPr>
              <w:rPr>
                <w:sz w:val="2"/>
                <w:szCs w:val="2"/>
              </w:rPr>
            </w:pPr>
          </w:p>
        </w:tc>
        <w:tc>
          <w:tcPr>
            <w:tcW w:w="418" w:type="dxa"/>
            <w:vMerge w:val="continue"/>
            <w:tcBorders>
              <w:top w:val="nil"/>
            </w:tcBorders>
          </w:tcPr>
          <w:p>
            <w:pPr>
              <w:rPr>
                <w:sz w:val="2"/>
                <w:szCs w:val="2"/>
              </w:rPr>
            </w:pPr>
          </w:p>
        </w:tc>
        <w:tc>
          <w:tcPr>
            <w:tcW w:w="677" w:type="dxa"/>
            <w:vMerge w:val="restart"/>
          </w:tcPr>
          <w:p>
            <w:pPr>
              <w:pStyle w:val="23"/>
              <w:rPr>
                <w:sz w:val="20"/>
              </w:rPr>
            </w:pPr>
          </w:p>
          <w:p>
            <w:pPr>
              <w:pStyle w:val="23"/>
              <w:rPr>
                <w:sz w:val="20"/>
              </w:rPr>
            </w:pPr>
          </w:p>
          <w:p>
            <w:pPr>
              <w:pStyle w:val="23"/>
              <w:rPr>
                <w:sz w:val="20"/>
              </w:rPr>
            </w:pPr>
          </w:p>
          <w:p>
            <w:pPr>
              <w:pStyle w:val="23"/>
              <w:rPr>
                <w:sz w:val="20"/>
              </w:rPr>
            </w:pPr>
          </w:p>
          <w:p>
            <w:pPr>
              <w:pStyle w:val="23"/>
              <w:rPr>
                <w:sz w:val="20"/>
              </w:rPr>
            </w:pPr>
          </w:p>
          <w:p>
            <w:pPr>
              <w:pStyle w:val="23"/>
              <w:rPr>
                <w:sz w:val="20"/>
              </w:rPr>
            </w:pPr>
          </w:p>
          <w:p>
            <w:pPr>
              <w:pStyle w:val="23"/>
              <w:rPr>
                <w:sz w:val="20"/>
              </w:rPr>
            </w:pPr>
          </w:p>
          <w:p>
            <w:pPr>
              <w:pStyle w:val="23"/>
              <w:rPr>
                <w:sz w:val="20"/>
              </w:rPr>
            </w:pPr>
          </w:p>
          <w:p>
            <w:pPr>
              <w:pStyle w:val="23"/>
              <w:rPr>
                <w:sz w:val="20"/>
              </w:rPr>
            </w:pPr>
          </w:p>
          <w:p>
            <w:pPr>
              <w:pStyle w:val="23"/>
              <w:rPr>
                <w:sz w:val="20"/>
              </w:rPr>
            </w:pPr>
          </w:p>
          <w:p>
            <w:pPr>
              <w:pStyle w:val="23"/>
              <w:spacing w:before="6"/>
              <w:rPr>
                <w:sz w:val="24"/>
              </w:rPr>
            </w:pPr>
          </w:p>
          <w:p>
            <w:pPr>
              <w:pStyle w:val="23"/>
              <w:spacing w:line="261" w:lineRule="auto"/>
              <w:ind w:left="136" w:right="130"/>
              <w:rPr>
                <w:sz w:val="20"/>
              </w:rPr>
            </w:pPr>
            <w:r>
              <w:rPr>
                <w:sz w:val="20"/>
              </w:rPr>
              <w:t>预算配置</w:t>
            </w:r>
          </w:p>
        </w:tc>
        <w:tc>
          <w:tcPr>
            <w:tcW w:w="415" w:type="dxa"/>
            <w:vMerge w:val="restart"/>
          </w:tcPr>
          <w:p>
            <w:pPr>
              <w:pStyle w:val="23"/>
              <w:rPr>
                <w:sz w:val="22"/>
              </w:rPr>
            </w:pPr>
          </w:p>
          <w:p>
            <w:pPr>
              <w:pStyle w:val="23"/>
              <w:rPr>
                <w:sz w:val="22"/>
              </w:rPr>
            </w:pPr>
          </w:p>
          <w:p>
            <w:pPr>
              <w:pStyle w:val="23"/>
              <w:rPr>
                <w:sz w:val="22"/>
              </w:rPr>
            </w:pPr>
          </w:p>
          <w:p>
            <w:pPr>
              <w:pStyle w:val="23"/>
              <w:rPr>
                <w:sz w:val="22"/>
              </w:rPr>
            </w:pPr>
          </w:p>
          <w:p>
            <w:pPr>
              <w:pStyle w:val="23"/>
              <w:rPr>
                <w:sz w:val="22"/>
              </w:rPr>
            </w:pPr>
          </w:p>
          <w:p>
            <w:pPr>
              <w:pStyle w:val="23"/>
              <w:rPr>
                <w:sz w:val="22"/>
              </w:rPr>
            </w:pPr>
          </w:p>
          <w:p>
            <w:pPr>
              <w:pStyle w:val="23"/>
              <w:rPr>
                <w:sz w:val="22"/>
              </w:rPr>
            </w:pPr>
          </w:p>
          <w:p>
            <w:pPr>
              <w:pStyle w:val="23"/>
              <w:rPr>
                <w:sz w:val="22"/>
              </w:rPr>
            </w:pPr>
          </w:p>
          <w:p>
            <w:pPr>
              <w:pStyle w:val="23"/>
              <w:rPr>
                <w:sz w:val="22"/>
              </w:rPr>
            </w:pPr>
          </w:p>
          <w:p>
            <w:pPr>
              <w:pStyle w:val="23"/>
              <w:rPr>
                <w:sz w:val="22"/>
              </w:rPr>
            </w:pPr>
          </w:p>
          <w:p>
            <w:pPr>
              <w:pStyle w:val="23"/>
              <w:spacing w:before="5"/>
              <w:rPr>
                <w:sz w:val="16"/>
              </w:rPr>
            </w:pPr>
          </w:p>
          <w:p>
            <w:pPr>
              <w:pStyle w:val="23"/>
              <w:ind w:left="104"/>
              <w:rPr>
                <w:rFonts w:ascii="Times New Roman"/>
                <w:sz w:val="20"/>
              </w:rPr>
            </w:pPr>
            <w:r>
              <w:rPr>
                <w:rFonts w:ascii="Times New Roman"/>
                <w:sz w:val="20"/>
              </w:rPr>
              <w:t>13</w:t>
            </w:r>
          </w:p>
        </w:tc>
        <w:tc>
          <w:tcPr>
            <w:tcW w:w="816" w:type="dxa"/>
          </w:tcPr>
          <w:p>
            <w:pPr>
              <w:pStyle w:val="23"/>
              <w:rPr>
                <w:sz w:val="20"/>
              </w:rPr>
            </w:pPr>
          </w:p>
          <w:p>
            <w:pPr>
              <w:pStyle w:val="23"/>
              <w:rPr>
                <w:sz w:val="20"/>
              </w:rPr>
            </w:pPr>
          </w:p>
          <w:p>
            <w:pPr>
              <w:pStyle w:val="23"/>
              <w:spacing w:before="10"/>
              <w:rPr>
                <w:sz w:val="17"/>
              </w:rPr>
            </w:pPr>
          </w:p>
          <w:p>
            <w:pPr>
              <w:pStyle w:val="23"/>
              <w:spacing w:line="264" w:lineRule="auto"/>
              <w:ind w:left="105" w:right="99" w:firstLine="100"/>
              <w:rPr>
                <w:sz w:val="20"/>
              </w:rPr>
            </w:pPr>
            <w:r>
              <w:rPr>
                <w:sz w:val="20"/>
              </w:rPr>
              <w:t>在职人员控制率</w:t>
            </w:r>
          </w:p>
        </w:tc>
        <w:tc>
          <w:tcPr>
            <w:tcW w:w="523" w:type="dxa"/>
          </w:tcPr>
          <w:p>
            <w:pPr>
              <w:pStyle w:val="23"/>
              <w:rPr>
                <w:sz w:val="22"/>
              </w:rPr>
            </w:pPr>
          </w:p>
          <w:p>
            <w:pPr>
              <w:pStyle w:val="23"/>
              <w:rPr>
                <w:sz w:val="22"/>
              </w:rPr>
            </w:pPr>
          </w:p>
          <w:p>
            <w:pPr>
              <w:pStyle w:val="23"/>
              <w:rPr>
                <w:sz w:val="22"/>
              </w:rPr>
            </w:pPr>
          </w:p>
          <w:p>
            <w:pPr>
              <w:pStyle w:val="23"/>
              <w:spacing w:before="189"/>
              <w:ind w:left="7"/>
              <w:jc w:val="center"/>
              <w:rPr>
                <w:rFonts w:ascii="Times New Roman"/>
                <w:sz w:val="20"/>
              </w:rPr>
            </w:pPr>
            <w:r>
              <w:rPr>
                <w:rFonts w:ascii="Times New Roman"/>
                <w:w w:val="99"/>
                <w:sz w:val="20"/>
              </w:rPr>
              <w:t>3</w:t>
            </w:r>
          </w:p>
        </w:tc>
        <w:tc>
          <w:tcPr>
            <w:tcW w:w="2853" w:type="dxa"/>
          </w:tcPr>
          <w:p>
            <w:pPr>
              <w:pStyle w:val="23"/>
              <w:rPr>
                <w:sz w:val="22"/>
              </w:rPr>
            </w:pPr>
          </w:p>
          <w:p>
            <w:pPr>
              <w:pStyle w:val="23"/>
              <w:rPr>
                <w:sz w:val="22"/>
              </w:rPr>
            </w:pPr>
          </w:p>
          <w:p>
            <w:pPr>
              <w:pStyle w:val="23"/>
              <w:spacing w:before="177" w:line="264" w:lineRule="auto"/>
              <w:ind w:left="105" w:right="98"/>
              <w:rPr>
                <w:sz w:val="20"/>
              </w:rPr>
            </w:pPr>
            <w:r>
              <w:rPr>
                <w:spacing w:val="-27"/>
                <w:sz w:val="20"/>
              </w:rPr>
              <w:t>以</w:t>
            </w:r>
            <w:r>
              <w:rPr>
                <w:rFonts w:ascii="Times New Roman" w:hAnsi="Times New Roman" w:eastAsia="Times New Roman"/>
                <w:sz w:val="20"/>
              </w:rPr>
              <w:t>100%</w:t>
            </w:r>
            <w:r>
              <w:rPr>
                <w:spacing w:val="-11"/>
                <w:sz w:val="20"/>
              </w:rPr>
              <w:t>为标准。在职人员控制</w:t>
            </w:r>
            <w:r>
              <w:rPr>
                <w:spacing w:val="-2"/>
                <w:sz w:val="20"/>
              </w:rPr>
              <w:t>率≦</w:t>
            </w:r>
            <w:r>
              <w:rPr>
                <w:rFonts w:ascii="Times New Roman" w:hAnsi="Times New Roman" w:eastAsia="Times New Roman"/>
                <w:spacing w:val="-3"/>
                <w:sz w:val="20"/>
              </w:rPr>
              <w:t>100%</w:t>
            </w:r>
            <w:r>
              <w:rPr>
                <w:spacing w:val="-19"/>
                <w:sz w:val="20"/>
              </w:rPr>
              <w:t>，计</w:t>
            </w:r>
            <w:r>
              <w:rPr>
                <w:rFonts w:ascii="Times New Roman" w:hAnsi="Times New Roman" w:eastAsia="Times New Roman"/>
                <w:sz w:val="20"/>
              </w:rPr>
              <w:t>3</w:t>
            </w:r>
            <w:r>
              <w:rPr>
                <w:spacing w:val="-6"/>
                <w:sz w:val="20"/>
              </w:rPr>
              <w:t>分；每超过一</w:t>
            </w:r>
          </w:p>
          <w:p>
            <w:pPr>
              <w:pStyle w:val="23"/>
              <w:spacing w:line="254" w:lineRule="exact"/>
              <w:ind w:left="105"/>
              <w:rPr>
                <w:sz w:val="20"/>
              </w:rPr>
            </w:pPr>
            <w:r>
              <w:rPr>
                <w:spacing w:val="-9"/>
                <w:sz w:val="20"/>
              </w:rPr>
              <w:t>个百分点扣</w:t>
            </w:r>
            <w:r>
              <w:rPr>
                <w:rFonts w:ascii="Times New Roman" w:eastAsia="Times New Roman"/>
                <w:sz w:val="20"/>
              </w:rPr>
              <w:t>0.5</w:t>
            </w:r>
            <w:r>
              <w:rPr>
                <w:spacing w:val="-5"/>
                <w:sz w:val="20"/>
              </w:rPr>
              <w:t>分，扣完为止。</w:t>
            </w:r>
          </w:p>
        </w:tc>
        <w:tc>
          <w:tcPr>
            <w:tcW w:w="2999" w:type="dxa"/>
          </w:tcPr>
          <w:p>
            <w:pPr>
              <w:pStyle w:val="23"/>
              <w:rPr>
                <w:sz w:val="25"/>
              </w:rPr>
            </w:pPr>
          </w:p>
          <w:p>
            <w:pPr>
              <w:pStyle w:val="23"/>
              <w:spacing w:line="261" w:lineRule="auto"/>
              <w:ind w:left="105" w:right="84"/>
              <w:rPr>
                <w:sz w:val="20"/>
              </w:rPr>
            </w:pPr>
            <w:r>
              <w:rPr>
                <w:sz w:val="20"/>
              </w:rPr>
              <w:t>在职人员控制率</w:t>
            </w:r>
            <w:r>
              <w:rPr>
                <w:rFonts w:ascii="Times New Roman" w:hAnsi="Times New Roman" w:eastAsia="Times New Roman"/>
                <w:sz w:val="20"/>
              </w:rPr>
              <w:t>=</w:t>
            </w:r>
            <w:r>
              <w:rPr>
                <w:sz w:val="20"/>
              </w:rPr>
              <w:t>（在职人员数</w:t>
            </w:r>
            <w:r>
              <w:rPr>
                <w:rFonts w:ascii="Times New Roman" w:hAnsi="Times New Roman" w:eastAsia="Times New Roman"/>
                <w:sz w:val="20"/>
              </w:rPr>
              <w:t>/</w:t>
            </w:r>
            <w:r>
              <w:rPr>
                <w:sz w:val="20"/>
              </w:rPr>
              <w:t>编制数）</w:t>
            </w:r>
            <w:r>
              <w:rPr>
                <w:rFonts w:ascii="Times New Roman" w:hAnsi="Times New Roman" w:eastAsia="Times New Roman"/>
                <w:sz w:val="20"/>
              </w:rPr>
              <w:t>×100%</w:t>
            </w:r>
            <w:r>
              <w:rPr>
                <w:sz w:val="20"/>
              </w:rPr>
              <w:t>，在职人员数：单位实际在职人数，以财政部门确定的部门决算编制口径为准。编制数：机构编制部门核定批复的单位的人员编制数。</w:t>
            </w:r>
          </w:p>
        </w:tc>
        <w:tc>
          <w:tcPr>
            <w:tcW w:w="532" w:type="dxa"/>
            <w:vAlign w:val="center"/>
          </w:tcPr>
          <w:p>
            <w:pPr>
              <w:pStyle w:val="23"/>
              <w:jc w:val="center"/>
              <w:rPr>
                <w:rFonts w:ascii="Times New Roman"/>
                <w:sz w:val="20"/>
                <w:lang w:val="en-US"/>
              </w:rPr>
            </w:pPr>
            <w:r>
              <w:rPr>
                <w:rFonts w:hint="eastAsia" w:ascii="Times New Roman"/>
                <w:sz w:val="20"/>
                <w:lang w:val="en-US"/>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53" w:hRule="atLeast"/>
        </w:trPr>
        <w:tc>
          <w:tcPr>
            <w:tcW w:w="516" w:type="dxa"/>
            <w:vMerge w:val="continue"/>
            <w:tcBorders>
              <w:top w:val="nil"/>
            </w:tcBorders>
          </w:tcPr>
          <w:p>
            <w:pPr>
              <w:rPr>
                <w:sz w:val="2"/>
                <w:szCs w:val="2"/>
              </w:rPr>
            </w:pPr>
          </w:p>
        </w:tc>
        <w:tc>
          <w:tcPr>
            <w:tcW w:w="418" w:type="dxa"/>
            <w:vMerge w:val="continue"/>
            <w:tcBorders>
              <w:top w:val="nil"/>
            </w:tcBorders>
          </w:tcPr>
          <w:p>
            <w:pPr>
              <w:rPr>
                <w:sz w:val="2"/>
                <w:szCs w:val="2"/>
              </w:rPr>
            </w:pPr>
          </w:p>
        </w:tc>
        <w:tc>
          <w:tcPr>
            <w:tcW w:w="677" w:type="dxa"/>
            <w:vMerge w:val="continue"/>
            <w:tcBorders>
              <w:top w:val="nil"/>
            </w:tcBorders>
          </w:tcPr>
          <w:p>
            <w:pPr>
              <w:rPr>
                <w:sz w:val="2"/>
                <w:szCs w:val="2"/>
              </w:rPr>
            </w:pPr>
          </w:p>
        </w:tc>
        <w:tc>
          <w:tcPr>
            <w:tcW w:w="415" w:type="dxa"/>
            <w:vMerge w:val="continue"/>
            <w:tcBorders>
              <w:top w:val="nil"/>
            </w:tcBorders>
          </w:tcPr>
          <w:p>
            <w:pPr>
              <w:rPr>
                <w:sz w:val="2"/>
                <w:szCs w:val="2"/>
              </w:rPr>
            </w:pPr>
          </w:p>
        </w:tc>
        <w:tc>
          <w:tcPr>
            <w:tcW w:w="816" w:type="dxa"/>
          </w:tcPr>
          <w:p>
            <w:pPr>
              <w:pStyle w:val="23"/>
              <w:spacing w:before="9"/>
              <w:rPr>
                <w:sz w:val="25"/>
              </w:rPr>
            </w:pPr>
          </w:p>
          <w:p>
            <w:pPr>
              <w:pStyle w:val="23"/>
              <w:spacing w:before="1"/>
              <w:ind w:left="162"/>
              <w:rPr>
                <w:sz w:val="20"/>
              </w:rPr>
            </w:pPr>
            <w:r>
              <w:rPr>
                <w:rFonts w:ascii="Times New Roman" w:hAnsi="Times New Roman" w:eastAsia="Times New Roman"/>
                <w:sz w:val="20"/>
              </w:rPr>
              <w:t>“</w:t>
            </w:r>
            <w:r>
              <w:rPr>
                <w:sz w:val="20"/>
              </w:rPr>
              <w:t>三公</w:t>
            </w:r>
          </w:p>
          <w:p>
            <w:pPr>
              <w:pStyle w:val="23"/>
              <w:spacing w:before="24" w:line="261" w:lineRule="auto"/>
              <w:ind w:left="105" w:right="99" w:firstLine="57"/>
              <w:rPr>
                <w:sz w:val="20"/>
              </w:rPr>
            </w:pPr>
            <w:r>
              <w:rPr>
                <w:sz w:val="20"/>
              </w:rPr>
              <w:t>经费</w:t>
            </w:r>
            <w:r>
              <w:rPr>
                <w:rFonts w:ascii="Times New Roman" w:hAnsi="Times New Roman" w:eastAsia="Times New Roman"/>
                <w:sz w:val="20"/>
              </w:rPr>
              <w:t>”</w:t>
            </w:r>
            <w:r>
              <w:rPr>
                <w:sz w:val="20"/>
              </w:rPr>
              <w:t>变动率</w:t>
            </w:r>
          </w:p>
        </w:tc>
        <w:tc>
          <w:tcPr>
            <w:tcW w:w="523" w:type="dxa"/>
          </w:tcPr>
          <w:p>
            <w:pPr>
              <w:pStyle w:val="23"/>
              <w:rPr>
                <w:sz w:val="22"/>
              </w:rPr>
            </w:pPr>
          </w:p>
          <w:p>
            <w:pPr>
              <w:pStyle w:val="23"/>
              <w:spacing w:before="9"/>
              <w:rPr>
                <w:sz w:val="26"/>
              </w:rPr>
            </w:pPr>
          </w:p>
          <w:p>
            <w:pPr>
              <w:pStyle w:val="23"/>
              <w:ind w:left="7"/>
              <w:jc w:val="center"/>
              <w:rPr>
                <w:rFonts w:ascii="Times New Roman"/>
                <w:sz w:val="20"/>
              </w:rPr>
            </w:pPr>
            <w:r>
              <w:rPr>
                <w:rFonts w:ascii="Times New Roman"/>
                <w:w w:val="99"/>
                <w:sz w:val="20"/>
              </w:rPr>
              <w:t>5</w:t>
            </w:r>
          </w:p>
        </w:tc>
        <w:tc>
          <w:tcPr>
            <w:tcW w:w="2853" w:type="dxa"/>
          </w:tcPr>
          <w:p>
            <w:pPr>
              <w:pStyle w:val="23"/>
              <w:spacing w:before="9"/>
              <w:rPr>
                <w:sz w:val="25"/>
              </w:rPr>
            </w:pPr>
          </w:p>
          <w:p>
            <w:pPr>
              <w:pStyle w:val="23"/>
              <w:spacing w:before="1" w:line="261" w:lineRule="auto"/>
              <w:ind w:left="105" w:right="-15"/>
              <w:rPr>
                <w:sz w:val="20"/>
              </w:rPr>
            </w:pPr>
            <w:r>
              <w:rPr>
                <w:rFonts w:ascii="Times New Roman" w:hAnsi="Times New Roman" w:eastAsia="Times New Roman"/>
                <w:w w:val="99"/>
                <w:sz w:val="20"/>
              </w:rPr>
              <w:t>“</w:t>
            </w:r>
            <w:r>
              <w:rPr>
                <w:w w:val="99"/>
                <w:sz w:val="20"/>
              </w:rPr>
              <w:t>三公经费</w:t>
            </w:r>
            <w:r>
              <w:rPr>
                <w:rFonts w:ascii="Times New Roman" w:hAnsi="Times New Roman" w:eastAsia="Times New Roman"/>
                <w:w w:val="99"/>
                <w:sz w:val="20"/>
              </w:rPr>
              <w:t>”</w:t>
            </w:r>
            <w:r>
              <w:rPr>
                <w:w w:val="99"/>
                <w:sz w:val="20"/>
              </w:rPr>
              <w:t>变动率≦</w:t>
            </w:r>
            <w:r>
              <w:rPr>
                <w:rFonts w:ascii="Times New Roman" w:hAnsi="Times New Roman" w:eastAsia="Times New Roman"/>
                <w:spacing w:val="-2"/>
                <w:w w:val="99"/>
                <w:sz w:val="20"/>
              </w:rPr>
              <w:t>0</w:t>
            </w:r>
            <w:r>
              <w:rPr>
                <w:spacing w:val="-34"/>
                <w:w w:val="99"/>
                <w:sz w:val="20"/>
              </w:rPr>
              <w:t>，计</w:t>
            </w:r>
            <w:r>
              <w:rPr>
                <w:rFonts w:ascii="Times New Roman" w:hAnsi="Times New Roman" w:eastAsia="Times New Roman"/>
                <w:w w:val="99"/>
                <w:sz w:val="20"/>
              </w:rPr>
              <w:t>5</w:t>
            </w:r>
            <w:r>
              <w:rPr>
                <w:spacing w:val="1"/>
                <w:w w:val="99"/>
                <w:sz w:val="20"/>
              </w:rPr>
              <w:t>分；</w:t>
            </w:r>
            <w:r>
              <w:rPr>
                <w:rFonts w:ascii="Times New Roman" w:hAnsi="Times New Roman" w:eastAsia="Times New Roman"/>
                <w:spacing w:val="1"/>
                <w:sz w:val="20"/>
              </w:rPr>
              <w:t>“</w:t>
            </w:r>
            <w:r>
              <w:rPr>
                <w:spacing w:val="1"/>
                <w:sz w:val="20"/>
              </w:rPr>
              <w:t>三公经费</w:t>
            </w:r>
            <w:r>
              <w:rPr>
                <w:rFonts w:ascii="Times New Roman" w:hAnsi="Times New Roman" w:eastAsia="Times New Roman"/>
                <w:spacing w:val="-10"/>
                <w:sz w:val="20"/>
              </w:rPr>
              <w:t>”</w:t>
            </w:r>
            <w:r>
              <w:rPr>
                <w:spacing w:val="-10"/>
                <w:sz w:val="20"/>
              </w:rPr>
              <w:t>＞</w:t>
            </w:r>
            <w:r>
              <w:rPr>
                <w:rFonts w:ascii="Times New Roman" w:hAnsi="Times New Roman" w:eastAsia="Times New Roman"/>
                <w:spacing w:val="-10"/>
                <w:sz w:val="20"/>
              </w:rPr>
              <w:t>0</w:t>
            </w:r>
            <w:r>
              <w:rPr>
                <w:spacing w:val="-3"/>
                <w:sz w:val="20"/>
              </w:rPr>
              <w:t>，每超过一个百</w:t>
            </w:r>
            <w:r>
              <w:rPr>
                <w:spacing w:val="-15"/>
                <w:sz w:val="20"/>
              </w:rPr>
              <w:t>分点扣</w:t>
            </w:r>
            <w:r>
              <w:rPr>
                <w:rFonts w:ascii="Times New Roman" w:hAnsi="Times New Roman" w:eastAsia="Times New Roman"/>
                <w:sz w:val="20"/>
              </w:rPr>
              <w:t>0.5</w:t>
            </w:r>
            <w:r>
              <w:rPr>
                <w:spacing w:val="-1"/>
                <w:sz w:val="20"/>
              </w:rPr>
              <w:t>分，扣完为止。</w:t>
            </w:r>
          </w:p>
        </w:tc>
        <w:tc>
          <w:tcPr>
            <w:tcW w:w="2999" w:type="dxa"/>
          </w:tcPr>
          <w:p>
            <w:pPr>
              <w:pStyle w:val="23"/>
              <w:spacing w:before="191" w:line="261" w:lineRule="auto"/>
              <w:ind w:left="105" w:right="96"/>
              <w:rPr>
                <w:rFonts w:ascii="Times New Roman" w:hAnsi="Times New Roman" w:eastAsia="Times New Roman"/>
                <w:sz w:val="20"/>
              </w:rPr>
            </w:pPr>
            <w:r>
              <w:rPr>
                <w:rFonts w:ascii="Times New Roman" w:hAnsi="Times New Roman" w:eastAsia="Times New Roman"/>
                <w:sz w:val="20"/>
              </w:rPr>
              <w:t>“</w:t>
            </w:r>
            <w:r>
              <w:rPr>
                <w:sz w:val="20"/>
              </w:rPr>
              <w:t>在公经费</w:t>
            </w:r>
            <w:r>
              <w:rPr>
                <w:rFonts w:ascii="Times New Roman" w:hAnsi="Times New Roman" w:eastAsia="Times New Roman"/>
                <w:sz w:val="20"/>
              </w:rPr>
              <w:t>”</w:t>
            </w:r>
            <w:r>
              <w:rPr>
                <w:sz w:val="20"/>
              </w:rPr>
              <w:t>变动率</w:t>
            </w:r>
            <w:r>
              <w:rPr>
                <w:rFonts w:ascii="Times New Roman" w:hAnsi="Times New Roman" w:eastAsia="Times New Roman"/>
                <w:spacing w:val="-20"/>
                <w:sz w:val="20"/>
              </w:rPr>
              <w:t>=[</w:t>
            </w:r>
            <w:r>
              <w:rPr>
                <w:spacing w:val="-20"/>
                <w:sz w:val="20"/>
              </w:rPr>
              <w:t>（</w:t>
            </w:r>
            <w:r>
              <w:rPr>
                <w:sz w:val="20"/>
              </w:rPr>
              <w:t>本年度</w:t>
            </w:r>
            <w:r>
              <w:rPr>
                <w:rFonts w:ascii="Times New Roman" w:hAnsi="Times New Roman" w:eastAsia="Times New Roman"/>
                <w:sz w:val="20"/>
              </w:rPr>
              <w:t>“</w:t>
            </w:r>
            <w:r>
              <w:rPr>
                <w:spacing w:val="-12"/>
                <w:sz w:val="20"/>
              </w:rPr>
              <w:t>三</w:t>
            </w:r>
            <w:r>
              <w:rPr>
                <w:spacing w:val="10"/>
                <w:w w:val="95"/>
                <w:sz w:val="20"/>
              </w:rPr>
              <w:t>公经费</w:t>
            </w:r>
            <w:r>
              <w:rPr>
                <w:rFonts w:ascii="Times New Roman" w:hAnsi="Times New Roman" w:eastAsia="Times New Roman"/>
                <w:spacing w:val="10"/>
                <w:w w:val="95"/>
                <w:sz w:val="20"/>
              </w:rPr>
              <w:t>”</w:t>
            </w:r>
            <w:r>
              <w:rPr>
                <w:spacing w:val="9"/>
                <w:w w:val="95"/>
                <w:sz w:val="20"/>
              </w:rPr>
              <w:t>预算数</w:t>
            </w:r>
            <w:r>
              <w:rPr>
                <w:rFonts w:ascii="Times New Roman" w:hAnsi="Times New Roman" w:eastAsia="Times New Roman"/>
                <w:spacing w:val="10"/>
                <w:w w:val="95"/>
                <w:sz w:val="20"/>
              </w:rPr>
              <w:t>-</w:t>
            </w:r>
            <w:r>
              <w:rPr>
                <w:spacing w:val="10"/>
                <w:w w:val="95"/>
                <w:sz w:val="20"/>
              </w:rPr>
              <w:t>上年度</w:t>
            </w:r>
            <w:r>
              <w:rPr>
                <w:rFonts w:ascii="Times New Roman" w:hAnsi="Times New Roman" w:eastAsia="Times New Roman"/>
                <w:spacing w:val="10"/>
                <w:w w:val="95"/>
                <w:sz w:val="20"/>
              </w:rPr>
              <w:t>“</w:t>
            </w:r>
            <w:r>
              <w:rPr>
                <w:spacing w:val="6"/>
                <w:w w:val="95"/>
                <w:sz w:val="20"/>
              </w:rPr>
              <w:t>三公经</w:t>
            </w:r>
            <w:r>
              <w:rPr>
                <w:spacing w:val="5"/>
                <w:sz w:val="20"/>
              </w:rPr>
              <w:t>费</w:t>
            </w:r>
            <w:r>
              <w:rPr>
                <w:rFonts w:ascii="Times New Roman" w:hAnsi="Times New Roman" w:eastAsia="Times New Roman"/>
                <w:spacing w:val="5"/>
                <w:sz w:val="20"/>
              </w:rPr>
              <w:t>”</w:t>
            </w:r>
            <w:r>
              <w:rPr>
                <w:spacing w:val="5"/>
                <w:sz w:val="20"/>
              </w:rPr>
              <w:t>预算数</w:t>
            </w:r>
            <w:r>
              <w:rPr>
                <w:spacing w:val="4"/>
                <w:sz w:val="20"/>
              </w:rPr>
              <w:t>）</w:t>
            </w:r>
            <w:r>
              <w:rPr>
                <w:rFonts w:ascii="Times New Roman" w:hAnsi="Times New Roman" w:eastAsia="Times New Roman"/>
                <w:spacing w:val="4"/>
                <w:sz w:val="20"/>
              </w:rPr>
              <w:t>/</w:t>
            </w:r>
            <w:r>
              <w:rPr>
                <w:spacing w:val="5"/>
                <w:sz w:val="20"/>
              </w:rPr>
              <w:t>上年度</w:t>
            </w:r>
            <w:r>
              <w:rPr>
                <w:rFonts w:ascii="Times New Roman" w:hAnsi="Times New Roman" w:eastAsia="Times New Roman"/>
                <w:sz w:val="20"/>
              </w:rPr>
              <w:t>“</w:t>
            </w:r>
            <w:r>
              <w:rPr>
                <w:spacing w:val="5"/>
                <w:sz w:val="20"/>
              </w:rPr>
              <w:t>三公经费</w:t>
            </w:r>
            <w:r>
              <w:rPr>
                <w:rFonts w:ascii="Times New Roman" w:hAnsi="Times New Roman" w:eastAsia="Times New Roman"/>
                <w:spacing w:val="-16"/>
                <w:sz w:val="20"/>
              </w:rPr>
              <w:t>”</w:t>
            </w:r>
            <w:r>
              <w:rPr>
                <w:sz w:val="20"/>
              </w:rPr>
              <w:t>预算数</w:t>
            </w:r>
            <w:r>
              <w:rPr>
                <w:rFonts w:ascii="Times New Roman" w:hAnsi="Times New Roman" w:eastAsia="Times New Roman"/>
                <w:sz w:val="20"/>
              </w:rPr>
              <w:t>]×100%</w:t>
            </w:r>
          </w:p>
        </w:tc>
        <w:tc>
          <w:tcPr>
            <w:tcW w:w="532" w:type="dxa"/>
            <w:vAlign w:val="center"/>
          </w:tcPr>
          <w:p>
            <w:pPr>
              <w:pStyle w:val="23"/>
              <w:jc w:val="center"/>
              <w:rPr>
                <w:rFonts w:ascii="Times New Roman"/>
                <w:sz w:val="20"/>
                <w:lang w:val="en-US"/>
              </w:rPr>
            </w:pPr>
            <w:r>
              <w:rPr>
                <w:rFonts w:hint="eastAsia" w:ascii="Times New Roman"/>
                <w:sz w:val="20"/>
                <w:lang w:val="en-US"/>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4" w:hRule="atLeast"/>
        </w:trPr>
        <w:tc>
          <w:tcPr>
            <w:tcW w:w="516" w:type="dxa"/>
            <w:vMerge w:val="continue"/>
            <w:tcBorders>
              <w:top w:val="nil"/>
            </w:tcBorders>
          </w:tcPr>
          <w:p>
            <w:pPr>
              <w:rPr>
                <w:sz w:val="2"/>
                <w:szCs w:val="2"/>
              </w:rPr>
            </w:pPr>
          </w:p>
        </w:tc>
        <w:tc>
          <w:tcPr>
            <w:tcW w:w="418" w:type="dxa"/>
            <w:vMerge w:val="continue"/>
            <w:tcBorders>
              <w:top w:val="nil"/>
            </w:tcBorders>
          </w:tcPr>
          <w:p>
            <w:pPr>
              <w:rPr>
                <w:sz w:val="2"/>
                <w:szCs w:val="2"/>
              </w:rPr>
            </w:pPr>
          </w:p>
        </w:tc>
        <w:tc>
          <w:tcPr>
            <w:tcW w:w="677" w:type="dxa"/>
            <w:vMerge w:val="continue"/>
            <w:tcBorders>
              <w:top w:val="nil"/>
            </w:tcBorders>
          </w:tcPr>
          <w:p>
            <w:pPr>
              <w:rPr>
                <w:sz w:val="2"/>
                <w:szCs w:val="2"/>
              </w:rPr>
            </w:pPr>
          </w:p>
        </w:tc>
        <w:tc>
          <w:tcPr>
            <w:tcW w:w="415" w:type="dxa"/>
            <w:vMerge w:val="continue"/>
            <w:tcBorders>
              <w:top w:val="nil"/>
            </w:tcBorders>
          </w:tcPr>
          <w:p>
            <w:pPr>
              <w:rPr>
                <w:sz w:val="2"/>
                <w:szCs w:val="2"/>
              </w:rPr>
            </w:pPr>
          </w:p>
        </w:tc>
        <w:tc>
          <w:tcPr>
            <w:tcW w:w="816" w:type="dxa"/>
          </w:tcPr>
          <w:p>
            <w:pPr>
              <w:pStyle w:val="23"/>
              <w:rPr>
                <w:sz w:val="20"/>
              </w:rPr>
            </w:pPr>
          </w:p>
          <w:p>
            <w:pPr>
              <w:pStyle w:val="23"/>
              <w:rPr>
                <w:sz w:val="20"/>
              </w:rPr>
            </w:pPr>
          </w:p>
          <w:p>
            <w:pPr>
              <w:pStyle w:val="23"/>
              <w:spacing w:before="2"/>
              <w:rPr>
                <w:sz w:val="27"/>
              </w:rPr>
            </w:pPr>
          </w:p>
          <w:p>
            <w:pPr>
              <w:pStyle w:val="23"/>
              <w:spacing w:line="261" w:lineRule="auto"/>
              <w:ind w:left="105" w:right="99" w:firstLine="100"/>
              <w:rPr>
                <w:sz w:val="20"/>
              </w:rPr>
            </w:pPr>
            <w:r>
              <w:rPr>
                <w:sz w:val="20"/>
              </w:rPr>
              <w:t>重点支出安排率</w:t>
            </w:r>
          </w:p>
        </w:tc>
        <w:tc>
          <w:tcPr>
            <w:tcW w:w="523" w:type="dxa"/>
          </w:tcPr>
          <w:p>
            <w:pPr>
              <w:pStyle w:val="23"/>
              <w:rPr>
                <w:sz w:val="22"/>
              </w:rPr>
            </w:pPr>
          </w:p>
          <w:p>
            <w:pPr>
              <w:pStyle w:val="23"/>
              <w:rPr>
                <w:sz w:val="22"/>
              </w:rPr>
            </w:pPr>
          </w:p>
          <w:p>
            <w:pPr>
              <w:pStyle w:val="23"/>
              <w:rPr>
                <w:sz w:val="22"/>
              </w:rPr>
            </w:pPr>
          </w:p>
          <w:p>
            <w:pPr>
              <w:pStyle w:val="23"/>
              <w:spacing w:before="1"/>
              <w:rPr>
                <w:sz w:val="24"/>
              </w:rPr>
            </w:pPr>
          </w:p>
          <w:p>
            <w:pPr>
              <w:pStyle w:val="23"/>
              <w:ind w:left="7"/>
              <w:jc w:val="center"/>
              <w:rPr>
                <w:rFonts w:ascii="Times New Roman"/>
                <w:sz w:val="20"/>
              </w:rPr>
            </w:pPr>
            <w:r>
              <w:rPr>
                <w:rFonts w:ascii="Times New Roman"/>
                <w:w w:val="99"/>
                <w:sz w:val="20"/>
              </w:rPr>
              <w:t>5</w:t>
            </w:r>
          </w:p>
        </w:tc>
        <w:tc>
          <w:tcPr>
            <w:tcW w:w="2853" w:type="dxa"/>
          </w:tcPr>
          <w:p>
            <w:pPr>
              <w:pStyle w:val="23"/>
              <w:rPr>
                <w:sz w:val="20"/>
              </w:rPr>
            </w:pPr>
          </w:p>
          <w:p>
            <w:pPr>
              <w:pStyle w:val="23"/>
              <w:rPr>
                <w:sz w:val="20"/>
              </w:rPr>
            </w:pPr>
          </w:p>
          <w:p>
            <w:pPr>
              <w:pStyle w:val="23"/>
              <w:spacing w:before="2"/>
              <w:rPr>
                <w:sz w:val="27"/>
              </w:rPr>
            </w:pPr>
          </w:p>
          <w:p>
            <w:pPr>
              <w:pStyle w:val="23"/>
              <w:spacing w:line="261" w:lineRule="auto"/>
              <w:ind w:left="105" w:right="98"/>
              <w:rPr>
                <w:sz w:val="20"/>
              </w:rPr>
            </w:pPr>
            <w:r>
              <w:rPr>
                <w:spacing w:val="7"/>
                <w:sz w:val="20"/>
              </w:rPr>
              <w:t>重点支出安排率</w:t>
            </w:r>
            <w:r>
              <w:rPr>
                <w:rFonts w:ascii="Times New Roman" w:eastAsia="Times New Roman"/>
                <w:spacing w:val="6"/>
                <w:sz w:val="20"/>
              </w:rPr>
              <w:t>100%</w:t>
            </w:r>
            <w:r>
              <w:rPr>
                <w:spacing w:val="-10"/>
                <w:sz w:val="20"/>
              </w:rPr>
              <w:t>，计</w:t>
            </w:r>
            <w:r>
              <w:rPr>
                <w:rFonts w:ascii="Times New Roman" w:eastAsia="Times New Roman"/>
                <w:spacing w:val="-12"/>
                <w:sz w:val="20"/>
              </w:rPr>
              <w:t>5</w:t>
            </w:r>
            <w:r>
              <w:rPr>
                <w:spacing w:val="-15"/>
                <w:sz w:val="20"/>
              </w:rPr>
              <w:t>分；每下降</w:t>
            </w:r>
            <w:r>
              <w:rPr>
                <w:rFonts w:ascii="Times New Roman" w:eastAsia="Times New Roman"/>
                <w:spacing w:val="-9"/>
                <w:sz w:val="20"/>
              </w:rPr>
              <w:t>5%</w:t>
            </w:r>
            <w:r>
              <w:rPr>
                <w:spacing w:val="-20"/>
                <w:sz w:val="20"/>
              </w:rPr>
              <w:t>，扣</w:t>
            </w:r>
            <w:r>
              <w:rPr>
                <w:rFonts w:ascii="Times New Roman" w:eastAsia="Times New Roman"/>
                <w:sz w:val="20"/>
              </w:rPr>
              <w:t>2</w:t>
            </w:r>
            <w:r>
              <w:rPr>
                <w:spacing w:val="-11"/>
                <w:sz w:val="20"/>
              </w:rPr>
              <w:t>分，扣完</w:t>
            </w:r>
            <w:r>
              <w:rPr>
                <w:sz w:val="20"/>
              </w:rPr>
              <w:t>为止。</w:t>
            </w:r>
          </w:p>
        </w:tc>
        <w:tc>
          <w:tcPr>
            <w:tcW w:w="2999" w:type="dxa"/>
          </w:tcPr>
          <w:p>
            <w:pPr>
              <w:pStyle w:val="23"/>
              <w:spacing w:before="160" w:line="264" w:lineRule="auto"/>
              <w:ind w:left="105" w:right="99"/>
              <w:rPr>
                <w:rFonts w:ascii="Times New Roman" w:hAnsi="Times New Roman" w:eastAsia="Times New Roman"/>
                <w:sz w:val="20"/>
              </w:rPr>
            </w:pPr>
            <w:r>
              <w:rPr>
                <w:spacing w:val="5"/>
                <w:sz w:val="20"/>
              </w:rPr>
              <w:t>重点支出安排率</w:t>
            </w:r>
            <w:r>
              <w:rPr>
                <w:rFonts w:ascii="Times New Roman" w:hAnsi="Times New Roman" w:eastAsia="Times New Roman"/>
                <w:spacing w:val="7"/>
                <w:sz w:val="20"/>
              </w:rPr>
              <w:t>=</w:t>
            </w:r>
            <w:r>
              <w:rPr>
                <w:spacing w:val="7"/>
                <w:sz w:val="20"/>
              </w:rPr>
              <w:t>（</w:t>
            </w:r>
            <w:r>
              <w:rPr>
                <w:spacing w:val="1"/>
                <w:sz w:val="20"/>
              </w:rPr>
              <w:t>重点项目支</w:t>
            </w:r>
            <w:r>
              <w:rPr>
                <w:sz w:val="20"/>
              </w:rPr>
              <w:t>出</w:t>
            </w:r>
            <w:r>
              <w:rPr>
                <w:rFonts w:ascii="Times New Roman" w:hAnsi="Times New Roman" w:eastAsia="Times New Roman"/>
                <w:sz w:val="20"/>
              </w:rPr>
              <w:t>/</w:t>
            </w:r>
            <w:r>
              <w:rPr>
                <w:sz w:val="20"/>
              </w:rPr>
              <w:t>项目总支出）</w:t>
            </w:r>
            <w:r>
              <w:rPr>
                <w:rFonts w:ascii="Times New Roman" w:hAnsi="Times New Roman" w:eastAsia="Times New Roman"/>
                <w:sz w:val="20"/>
              </w:rPr>
              <w:t>×100%</w:t>
            </w:r>
          </w:p>
          <w:p>
            <w:pPr>
              <w:pStyle w:val="23"/>
              <w:spacing w:line="261" w:lineRule="auto"/>
              <w:ind w:left="105" w:right="97"/>
              <w:rPr>
                <w:sz w:val="20"/>
              </w:rPr>
            </w:pPr>
            <w:r>
              <w:rPr>
                <w:spacing w:val="-4"/>
                <w:sz w:val="20"/>
              </w:rPr>
              <w:t>重点项目支出：根据单位的职能</w:t>
            </w:r>
            <w:r>
              <w:rPr>
                <w:spacing w:val="-5"/>
                <w:sz w:val="20"/>
              </w:rPr>
              <w:t>职责，结合当年的重点工作和计</w:t>
            </w:r>
            <w:r>
              <w:rPr>
                <w:spacing w:val="-4"/>
                <w:sz w:val="20"/>
              </w:rPr>
              <w:t>划安排情况，部门年度预算优先</w:t>
            </w:r>
            <w:r>
              <w:rPr>
                <w:sz w:val="20"/>
              </w:rPr>
              <w:t>保障的重要项目支出。</w:t>
            </w:r>
          </w:p>
          <w:p>
            <w:pPr>
              <w:pStyle w:val="23"/>
              <w:spacing w:line="264" w:lineRule="auto"/>
              <w:ind w:left="105" w:right="51"/>
              <w:rPr>
                <w:sz w:val="20"/>
              </w:rPr>
            </w:pPr>
            <w:r>
              <w:rPr>
                <w:sz w:val="20"/>
              </w:rPr>
              <w:t>项目总支出：单位年度预算安排的项目支出总额。</w:t>
            </w:r>
          </w:p>
        </w:tc>
        <w:tc>
          <w:tcPr>
            <w:tcW w:w="532" w:type="dxa"/>
            <w:vAlign w:val="center"/>
          </w:tcPr>
          <w:p>
            <w:pPr>
              <w:pStyle w:val="23"/>
              <w:jc w:val="center"/>
              <w:rPr>
                <w:rFonts w:ascii="Times New Roman"/>
                <w:sz w:val="20"/>
                <w:lang w:val="en-US"/>
              </w:rPr>
            </w:pPr>
            <w:r>
              <w:rPr>
                <w:rFonts w:hint="eastAsia" w:ascii="Times New Roman"/>
                <w:sz w:val="20"/>
                <w:lang w:val="en-US"/>
              </w:rPr>
              <w:t>5</w:t>
            </w:r>
          </w:p>
        </w:tc>
      </w:tr>
    </w:tbl>
    <w:p>
      <w:pPr>
        <w:pStyle w:val="6"/>
        <w:spacing w:before="4"/>
        <w:rPr>
          <w:sz w:val="23"/>
        </w:rPr>
      </w:pPr>
    </w:p>
    <w:p>
      <w:pPr>
        <w:rPr>
          <w:rFonts w:ascii="Times New Roman"/>
          <w:sz w:val="20"/>
        </w:rPr>
        <w:sectPr>
          <w:footerReference r:id="rId3" w:type="default"/>
          <w:pgSz w:w="11850" w:h="16783"/>
          <w:pgMar w:top="1440" w:right="1803" w:bottom="1440" w:left="1803" w:header="0" w:footer="1322" w:gutter="0"/>
          <w:pgNumType w:start="1"/>
          <w:cols w:space="720" w:num="1"/>
        </w:sectPr>
      </w:pPr>
    </w:p>
    <w:p>
      <w:pPr>
        <w:pStyle w:val="6"/>
        <w:rPr>
          <w:rFonts w:ascii="Times New Roman"/>
          <w:sz w:val="9"/>
        </w:rPr>
      </w:pPr>
    </w:p>
    <w:tbl>
      <w:tblPr>
        <w:tblStyle w:val="14"/>
        <w:tblW w:w="0" w:type="auto"/>
        <w:tblInd w:w="12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16"/>
        <w:gridCol w:w="418"/>
        <w:gridCol w:w="677"/>
        <w:gridCol w:w="415"/>
        <w:gridCol w:w="816"/>
        <w:gridCol w:w="523"/>
        <w:gridCol w:w="2853"/>
        <w:gridCol w:w="2999"/>
        <w:gridCol w:w="53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516" w:type="dxa"/>
          </w:tcPr>
          <w:p>
            <w:pPr>
              <w:pStyle w:val="23"/>
              <w:spacing w:before="25" w:line="292" w:lineRule="auto"/>
              <w:ind w:left="155" w:right="149"/>
              <w:rPr>
                <w:rFonts w:ascii="黑体" w:eastAsia="黑体"/>
                <w:sz w:val="20"/>
              </w:rPr>
            </w:pPr>
            <w:r>
              <w:rPr>
                <w:rFonts w:hint="eastAsia" w:ascii="黑体" w:eastAsia="黑体"/>
                <w:sz w:val="20"/>
              </w:rPr>
              <w:t>一级指</w:t>
            </w:r>
          </w:p>
          <w:p>
            <w:pPr>
              <w:pStyle w:val="23"/>
              <w:spacing w:line="254" w:lineRule="exact"/>
              <w:ind w:left="155"/>
              <w:rPr>
                <w:rFonts w:ascii="黑体" w:eastAsia="黑体"/>
                <w:sz w:val="20"/>
              </w:rPr>
            </w:pPr>
            <w:r>
              <w:rPr>
                <w:rFonts w:hint="eastAsia" w:ascii="黑体" w:eastAsia="黑体"/>
                <w:w w:val="99"/>
                <w:sz w:val="20"/>
              </w:rPr>
              <w:t>标</w:t>
            </w:r>
          </w:p>
        </w:tc>
        <w:tc>
          <w:tcPr>
            <w:tcW w:w="418" w:type="dxa"/>
          </w:tcPr>
          <w:p>
            <w:pPr>
              <w:pStyle w:val="23"/>
              <w:spacing w:before="3"/>
              <w:rPr>
                <w:rFonts w:ascii="Times New Roman"/>
                <w:sz w:val="29"/>
              </w:rPr>
            </w:pPr>
          </w:p>
          <w:p>
            <w:pPr>
              <w:pStyle w:val="23"/>
              <w:spacing w:before="1" w:line="292" w:lineRule="auto"/>
              <w:ind w:left="107" w:right="99"/>
              <w:rPr>
                <w:rFonts w:ascii="黑体" w:eastAsia="黑体"/>
                <w:sz w:val="20"/>
              </w:rPr>
            </w:pPr>
            <w:r>
              <w:rPr>
                <w:rFonts w:hint="eastAsia" w:ascii="黑体" w:eastAsia="黑体"/>
                <w:sz w:val="20"/>
              </w:rPr>
              <w:t>分值</w:t>
            </w:r>
          </w:p>
        </w:tc>
        <w:tc>
          <w:tcPr>
            <w:tcW w:w="677" w:type="dxa"/>
          </w:tcPr>
          <w:p>
            <w:pPr>
              <w:pStyle w:val="23"/>
              <w:spacing w:before="3"/>
              <w:rPr>
                <w:rFonts w:ascii="Times New Roman"/>
                <w:sz w:val="29"/>
              </w:rPr>
            </w:pPr>
          </w:p>
          <w:p>
            <w:pPr>
              <w:pStyle w:val="23"/>
              <w:spacing w:before="1" w:line="292" w:lineRule="auto"/>
              <w:ind w:left="136" w:right="130"/>
              <w:rPr>
                <w:rFonts w:ascii="黑体" w:eastAsia="黑体"/>
                <w:sz w:val="20"/>
              </w:rPr>
            </w:pPr>
            <w:r>
              <w:rPr>
                <w:rFonts w:hint="eastAsia" w:ascii="黑体" w:eastAsia="黑体"/>
                <w:sz w:val="20"/>
              </w:rPr>
              <w:t>二级指标</w:t>
            </w:r>
          </w:p>
        </w:tc>
        <w:tc>
          <w:tcPr>
            <w:tcW w:w="415" w:type="dxa"/>
          </w:tcPr>
          <w:p>
            <w:pPr>
              <w:pStyle w:val="23"/>
              <w:spacing w:before="3"/>
              <w:rPr>
                <w:rFonts w:ascii="Times New Roman"/>
                <w:sz w:val="29"/>
              </w:rPr>
            </w:pPr>
          </w:p>
          <w:p>
            <w:pPr>
              <w:pStyle w:val="23"/>
              <w:spacing w:before="1" w:line="292" w:lineRule="auto"/>
              <w:ind w:left="104" w:right="99"/>
              <w:rPr>
                <w:rFonts w:ascii="黑体" w:eastAsia="黑体"/>
                <w:sz w:val="20"/>
              </w:rPr>
            </w:pPr>
            <w:r>
              <w:rPr>
                <w:rFonts w:hint="eastAsia" w:ascii="黑体" w:eastAsia="黑体"/>
                <w:sz w:val="20"/>
              </w:rPr>
              <w:t>分值</w:t>
            </w:r>
          </w:p>
        </w:tc>
        <w:tc>
          <w:tcPr>
            <w:tcW w:w="816" w:type="dxa"/>
          </w:tcPr>
          <w:p>
            <w:pPr>
              <w:pStyle w:val="23"/>
              <w:spacing w:before="3"/>
              <w:rPr>
                <w:rFonts w:ascii="Times New Roman"/>
                <w:sz w:val="29"/>
              </w:rPr>
            </w:pPr>
          </w:p>
          <w:p>
            <w:pPr>
              <w:pStyle w:val="23"/>
              <w:spacing w:before="1" w:line="292" w:lineRule="auto"/>
              <w:ind w:left="205" w:right="201"/>
              <w:rPr>
                <w:rFonts w:ascii="黑体" w:eastAsia="黑体"/>
                <w:sz w:val="20"/>
              </w:rPr>
            </w:pPr>
            <w:r>
              <w:rPr>
                <w:rFonts w:hint="eastAsia" w:ascii="黑体" w:eastAsia="黑体"/>
                <w:sz w:val="20"/>
              </w:rPr>
              <w:t>三级指标</w:t>
            </w:r>
          </w:p>
        </w:tc>
        <w:tc>
          <w:tcPr>
            <w:tcW w:w="523" w:type="dxa"/>
          </w:tcPr>
          <w:p>
            <w:pPr>
              <w:pStyle w:val="23"/>
              <w:spacing w:before="3"/>
              <w:rPr>
                <w:rFonts w:ascii="Times New Roman"/>
                <w:sz w:val="29"/>
              </w:rPr>
            </w:pPr>
          </w:p>
          <w:p>
            <w:pPr>
              <w:pStyle w:val="23"/>
              <w:spacing w:before="1" w:line="292" w:lineRule="auto"/>
              <w:ind w:left="160" w:right="151"/>
              <w:rPr>
                <w:rFonts w:ascii="黑体" w:eastAsia="黑体"/>
                <w:sz w:val="20"/>
              </w:rPr>
            </w:pPr>
            <w:r>
              <w:rPr>
                <w:rFonts w:hint="eastAsia" w:ascii="黑体" w:eastAsia="黑体"/>
                <w:sz w:val="20"/>
              </w:rPr>
              <w:t>分值</w:t>
            </w:r>
          </w:p>
        </w:tc>
        <w:tc>
          <w:tcPr>
            <w:tcW w:w="2853" w:type="dxa"/>
          </w:tcPr>
          <w:p>
            <w:pPr>
              <w:pStyle w:val="23"/>
              <w:rPr>
                <w:rFonts w:ascii="Times New Roman"/>
                <w:sz w:val="20"/>
              </w:rPr>
            </w:pPr>
          </w:p>
          <w:p>
            <w:pPr>
              <w:pStyle w:val="23"/>
              <w:spacing w:before="10"/>
              <w:rPr>
                <w:rFonts w:ascii="Times New Roman"/>
                <w:sz w:val="22"/>
              </w:rPr>
            </w:pPr>
          </w:p>
          <w:p>
            <w:pPr>
              <w:pStyle w:val="23"/>
              <w:ind w:left="1003" w:right="999"/>
              <w:jc w:val="center"/>
              <w:rPr>
                <w:rFonts w:ascii="黑体" w:eastAsia="黑体"/>
                <w:sz w:val="20"/>
              </w:rPr>
            </w:pPr>
            <w:r>
              <w:rPr>
                <w:rFonts w:hint="eastAsia" w:ascii="黑体" w:eastAsia="黑体"/>
                <w:sz w:val="20"/>
              </w:rPr>
              <w:t>评价标准</w:t>
            </w:r>
          </w:p>
        </w:tc>
        <w:tc>
          <w:tcPr>
            <w:tcW w:w="2999" w:type="dxa"/>
          </w:tcPr>
          <w:p>
            <w:pPr>
              <w:pStyle w:val="23"/>
              <w:rPr>
                <w:rFonts w:ascii="Times New Roman"/>
                <w:sz w:val="20"/>
              </w:rPr>
            </w:pPr>
          </w:p>
          <w:p>
            <w:pPr>
              <w:pStyle w:val="23"/>
              <w:spacing w:before="10"/>
              <w:rPr>
                <w:rFonts w:ascii="Times New Roman"/>
                <w:sz w:val="22"/>
              </w:rPr>
            </w:pPr>
          </w:p>
          <w:p>
            <w:pPr>
              <w:pStyle w:val="23"/>
              <w:ind w:left="1076" w:right="1072"/>
              <w:jc w:val="center"/>
              <w:rPr>
                <w:rFonts w:ascii="黑体" w:eastAsia="黑体"/>
                <w:sz w:val="20"/>
              </w:rPr>
            </w:pPr>
            <w:r>
              <w:rPr>
                <w:rFonts w:hint="eastAsia" w:ascii="黑体" w:eastAsia="黑体"/>
                <w:sz w:val="20"/>
              </w:rPr>
              <w:t>指标说明</w:t>
            </w:r>
          </w:p>
        </w:tc>
        <w:tc>
          <w:tcPr>
            <w:tcW w:w="532" w:type="dxa"/>
          </w:tcPr>
          <w:p>
            <w:pPr>
              <w:pStyle w:val="23"/>
              <w:spacing w:before="3"/>
              <w:rPr>
                <w:rFonts w:ascii="Times New Roman"/>
                <w:sz w:val="29"/>
              </w:rPr>
            </w:pPr>
          </w:p>
          <w:p>
            <w:pPr>
              <w:pStyle w:val="23"/>
              <w:spacing w:before="1" w:line="292" w:lineRule="auto"/>
              <w:ind w:left="166" w:right="154"/>
              <w:rPr>
                <w:rFonts w:ascii="黑体" w:eastAsia="黑体"/>
                <w:sz w:val="20"/>
              </w:rPr>
            </w:pPr>
            <w:r>
              <w:rPr>
                <w:rFonts w:hint="eastAsia" w:ascii="黑体" w:eastAsia="黑体"/>
                <w:sz w:val="20"/>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0" w:hRule="atLeast"/>
        </w:trPr>
        <w:tc>
          <w:tcPr>
            <w:tcW w:w="516" w:type="dxa"/>
            <w:vMerge w:val="restart"/>
          </w:tcPr>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spacing w:before="1"/>
              <w:rPr>
                <w:rFonts w:ascii="Times New Roman"/>
                <w:sz w:val="19"/>
              </w:rPr>
            </w:pPr>
          </w:p>
          <w:p>
            <w:pPr>
              <w:pStyle w:val="23"/>
              <w:spacing w:line="292" w:lineRule="auto"/>
              <w:ind w:left="155" w:right="149"/>
              <w:rPr>
                <w:sz w:val="20"/>
              </w:rPr>
            </w:pPr>
            <w:r>
              <w:rPr>
                <w:sz w:val="20"/>
              </w:rPr>
              <w:t>过程</w:t>
            </w:r>
          </w:p>
        </w:tc>
        <w:tc>
          <w:tcPr>
            <w:tcW w:w="418" w:type="dxa"/>
            <w:vMerge w:val="restart"/>
          </w:tcPr>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spacing w:before="10"/>
              <w:rPr>
                <w:rFonts w:ascii="Times New Roman"/>
                <w:sz w:val="29"/>
              </w:rPr>
            </w:pPr>
          </w:p>
          <w:p>
            <w:pPr>
              <w:pStyle w:val="23"/>
              <w:ind w:left="107"/>
              <w:rPr>
                <w:rFonts w:ascii="Times New Roman"/>
                <w:sz w:val="20"/>
              </w:rPr>
            </w:pPr>
            <w:r>
              <w:rPr>
                <w:rFonts w:ascii="Times New Roman"/>
                <w:sz w:val="20"/>
              </w:rPr>
              <w:t>56</w:t>
            </w:r>
          </w:p>
        </w:tc>
        <w:tc>
          <w:tcPr>
            <w:tcW w:w="677" w:type="dxa"/>
            <w:vMerge w:val="restart"/>
          </w:tcPr>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spacing w:before="1"/>
              <w:rPr>
                <w:rFonts w:ascii="Times New Roman"/>
                <w:sz w:val="19"/>
              </w:rPr>
            </w:pPr>
          </w:p>
          <w:p>
            <w:pPr>
              <w:pStyle w:val="23"/>
              <w:spacing w:line="292" w:lineRule="auto"/>
              <w:ind w:left="136" w:right="130"/>
              <w:rPr>
                <w:sz w:val="20"/>
              </w:rPr>
            </w:pPr>
            <w:r>
              <w:rPr>
                <w:sz w:val="20"/>
              </w:rPr>
              <w:t>预算执行</w:t>
            </w:r>
          </w:p>
        </w:tc>
        <w:tc>
          <w:tcPr>
            <w:tcW w:w="415" w:type="dxa"/>
            <w:vMerge w:val="restart"/>
          </w:tcPr>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spacing w:before="10"/>
              <w:rPr>
                <w:rFonts w:ascii="Times New Roman"/>
                <w:sz w:val="29"/>
              </w:rPr>
            </w:pPr>
          </w:p>
          <w:p>
            <w:pPr>
              <w:pStyle w:val="23"/>
              <w:ind w:left="104"/>
              <w:rPr>
                <w:rFonts w:ascii="Times New Roman"/>
                <w:sz w:val="20"/>
              </w:rPr>
            </w:pPr>
            <w:r>
              <w:rPr>
                <w:rFonts w:ascii="Times New Roman"/>
                <w:sz w:val="20"/>
              </w:rPr>
              <w:t>31</w:t>
            </w:r>
          </w:p>
        </w:tc>
        <w:tc>
          <w:tcPr>
            <w:tcW w:w="816" w:type="dxa"/>
          </w:tcPr>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spacing w:before="11"/>
              <w:rPr>
                <w:rFonts w:ascii="Times New Roman"/>
                <w:sz w:val="26"/>
              </w:rPr>
            </w:pPr>
          </w:p>
          <w:p>
            <w:pPr>
              <w:pStyle w:val="23"/>
              <w:spacing w:line="292" w:lineRule="auto"/>
              <w:ind w:left="105" w:right="99" w:firstLine="100"/>
              <w:rPr>
                <w:sz w:val="20"/>
              </w:rPr>
            </w:pPr>
            <w:r>
              <w:rPr>
                <w:sz w:val="20"/>
              </w:rPr>
              <w:t>预算执行率</w:t>
            </w:r>
          </w:p>
        </w:tc>
        <w:tc>
          <w:tcPr>
            <w:tcW w:w="523" w:type="dxa"/>
          </w:tcPr>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spacing w:before="134"/>
              <w:ind w:left="7"/>
              <w:jc w:val="center"/>
              <w:rPr>
                <w:rFonts w:ascii="Times New Roman"/>
                <w:sz w:val="20"/>
              </w:rPr>
            </w:pPr>
            <w:r>
              <w:rPr>
                <w:rFonts w:ascii="Times New Roman"/>
                <w:w w:val="99"/>
                <w:sz w:val="20"/>
              </w:rPr>
              <w:t>6</w:t>
            </w:r>
          </w:p>
        </w:tc>
        <w:tc>
          <w:tcPr>
            <w:tcW w:w="2853" w:type="dxa"/>
          </w:tcPr>
          <w:p>
            <w:pPr>
              <w:pStyle w:val="23"/>
              <w:spacing w:before="6"/>
              <w:rPr>
                <w:rFonts w:ascii="Times New Roman"/>
                <w:sz w:val="25"/>
              </w:rPr>
            </w:pPr>
          </w:p>
          <w:p>
            <w:pPr>
              <w:pStyle w:val="23"/>
              <w:ind w:left="105"/>
              <w:rPr>
                <w:rFonts w:ascii="Times New Roman" w:hAnsi="Times New Roman" w:eastAsia="Times New Roman"/>
                <w:sz w:val="20"/>
              </w:rPr>
            </w:pPr>
            <w:r>
              <w:rPr>
                <w:sz w:val="20"/>
              </w:rPr>
              <w:t>①预算完成率</w:t>
            </w:r>
            <w:r>
              <w:rPr>
                <w:rFonts w:ascii="Times New Roman" w:hAnsi="Times New Roman" w:eastAsia="Times New Roman"/>
                <w:sz w:val="20"/>
              </w:rPr>
              <w:t>95%</w:t>
            </w:r>
            <w:r>
              <w:rPr>
                <w:sz w:val="20"/>
              </w:rPr>
              <w:t>以上计</w:t>
            </w:r>
            <w:r>
              <w:rPr>
                <w:rFonts w:ascii="Times New Roman" w:hAnsi="Times New Roman" w:eastAsia="Times New Roman"/>
                <w:sz w:val="20"/>
              </w:rPr>
              <w:t>3</w:t>
            </w:r>
          </w:p>
          <w:p>
            <w:pPr>
              <w:pStyle w:val="23"/>
              <w:spacing w:before="56"/>
              <w:ind w:left="105" w:right="-15"/>
              <w:rPr>
                <w:sz w:val="20"/>
              </w:rPr>
            </w:pPr>
            <w:r>
              <w:rPr>
                <w:spacing w:val="-2"/>
                <w:sz w:val="20"/>
              </w:rPr>
              <w:t>分，</w:t>
            </w:r>
            <w:r>
              <w:rPr>
                <w:rFonts w:ascii="Times New Roman" w:eastAsia="Times New Roman"/>
                <w:spacing w:val="-3"/>
                <w:sz w:val="20"/>
              </w:rPr>
              <w:t>95-90%</w:t>
            </w:r>
            <w:r>
              <w:rPr>
                <w:spacing w:val="-3"/>
                <w:sz w:val="20"/>
              </w:rPr>
              <w:t>（</w:t>
            </w:r>
            <w:r>
              <w:rPr>
                <w:sz w:val="20"/>
              </w:rPr>
              <w:t>含</w:t>
            </w:r>
            <w:r>
              <w:rPr>
                <w:spacing w:val="-10"/>
                <w:sz w:val="20"/>
              </w:rPr>
              <w:t>），</w:t>
            </w:r>
            <w:r>
              <w:rPr>
                <w:spacing w:val="-27"/>
                <w:sz w:val="20"/>
              </w:rPr>
              <w:t>计</w:t>
            </w:r>
            <w:r>
              <w:rPr>
                <w:rFonts w:ascii="Times New Roman" w:eastAsia="Times New Roman"/>
                <w:sz w:val="20"/>
              </w:rPr>
              <w:t>1.5</w:t>
            </w:r>
            <w:r>
              <w:rPr>
                <w:sz w:val="20"/>
              </w:rPr>
              <w:t>分，</w:t>
            </w:r>
          </w:p>
          <w:p>
            <w:pPr>
              <w:pStyle w:val="23"/>
              <w:spacing w:before="56"/>
              <w:ind w:left="105"/>
              <w:rPr>
                <w:sz w:val="20"/>
              </w:rPr>
            </w:pPr>
            <w:r>
              <w:rPr>
                <w:rFonts w:ascii="Times New Roman" w:eastAsia="Times New Roman"/>
                <w:sz w:val="20"/>
              </w:rPr>
              <w:t>90-80%</w:t>
            </w:r>
            <w:r>
              <w:rPr>
                <w:sz w:val="20"/>
              </w:rPr>
              <w:t>（含），计</w:t>
            </w:r>
            <w:r>
              <w:rPr>
                <w:rFonts w:ascii="Times New Roman" w:eastAsia="Times New Roman"/>
                <w:sz w:val="20"/>
              </w:rPr>
              <w:t>1</w:t>
            </w:r>
            <w:r>
              <w:rPr>
                <w:sz w:val="20"/>
              </w:rPr>
              <w:t>分，小于</w:t>
            </w:r>
          </w:p>
          <w:p>
            <w:pPr>
              <w:pStyle w:val="23"/>
              <w:spacing w:before="56"/>
              <w:ind w:left="105"/>
              <w:rPr>
                <w:sz w:val="20"/>
              </w:rPr>
            </w:pPr>
            <w:r>
              <w:rPr>
                <w:rFonts w:ascii="Times New Roman" w:eastAsia="Times New Roman"/>
                <w:sz w:val="20"/>
              </w:rPr>
              <w:t>80%</w:t>
            </w:r>
            <w:r>
              <w:rPr>
                <w:sz w:val="20"/>
              </w:rPr>
              <w:t>不得分；</w:t>
            </w:r>
          </w:p>
          <w:p>
            <w:pPr>
              <w:pStyle w:val="23"/>
              <w:spacing w:before="55"/>
              <w:ind w:left="105"/>
              <w:rPr>
                <w:rFonts w:ascii="Times New Roman" w:hAnsi="Times New Roman" w:eastAsia="Times New Roman"/>
                <w:sz w:val="20"/>
              </w:rPr>
            </w:pPr>
            <w:r>
              <w:rPr>
                <w:sz w:val="20"/>
              </w:rPr>
              <w:t>②支付进度率</w:t>
            </w:r>
            <w:r>
              <w:rPr>
                <w:rFonts w:ascii="Times New Roman" w:hAnsi="Times New Roman" w:eastAsia="Times New Roman"/>
                <w:sz w:val="20"/>
              </w:rPr>
              <w:t>95%</w:t>
            </w:r>
            <w:r>
              <w:rPr>
                <w:sz w:val="20"/>
              </w:rPr>
              <w:t>以上计</w:t>
            </w:r>
            <w:r>
              <w:rPr>
                <w:rFonts w:ascii="Times New Roman" w:hAnsi="Times New Roman" w:eastAsia="Times New Roman"/>
                <w:sz w:val="20"/>
              </w:rPr>
              <w:t>3</w:t>
            </w:r>
          </w:p>
          <w:p>
            <w:pPr>
              <w:pStyle w:val="23"/>
              <w:spacing w:before="56"/>
              <w:ind w:left="105" w:right="-15"/>
              <w:rPr>
                <w:sz w:val="20"/>
              </w:rPr>
            </w:pPr>
            <w:r>
              <w:rPr>
                <w:spacing w:val="-2"/>
                <w:sz w:val="20"/>
              </w:rPr>
              <w:t>分，</w:t>
            </w:r>
            <w:r>
              <w:rPr>
                <w:rFonts w:ascii="Times New Roman" w:eastAsia="Times New Roman"/>
                <w:spacing w:val="-3"/>
                <w:sz w:val="20"/>
              </w:rPr>
              <w:t>95-90%</w:t>
            </w:r>
            <w:r>
              <w:rPr>
                <w:spacing w:val="-3"/>
                <w:sz w:val="20"/>
              </w:rPr>
              <w:t>（</w:t>
            </w:r>
            <w:r>
              <w:rPr>
                <w:sz w:val="20"/>
              </w:rPr>
              <w:t>含</w:t>
            </w:r>
            <w:r>
              <w:rPr>
                <w:spacing w:val="-10"/>
                <w:sz w:val="20"/>
              </w:rPr>
              <w:t>），</w:t>
            </w:r>
            <w:r>
              <w:rPr>
                <w:spacing w:val="-27"/>
                <w:sz w:val="20"/>
              </w:rPr>
              <w:t>计</w:t>
            </w:r>
            <w:r>
              <w:rPr>
                <w:rFonts w:ascii="Times New Roman" w:eastAsia="Times New Roman"/>
                <w:sz w:val="20"/>
              </w:rPr>
              <w:t>1.5</w:t>
            </w:r>
            <w:r>
              <w:rPr>
                <w:sz w:val="20"/>
              </w:rPr>
              <w:t>分，</w:t>
            </w:r>
          </w:p>
          <w:p>
            <w:pPr>
              <w:pStyle w:val="23"/>
              <w:spacing w:before="56"/>
              <w:ind w:left="105"/>
              <w:rPr>
                <w:sz w:val="20"/>
              </w:rPr>
            </w:pPr>
            <w:r>
              <w:rPr>
                <w:rFonts w:ascii="Times New Roman" w:eastAsia="Times New Roman"/>
                <w:sz w:val="20"/>
              </w:rPr>
              <w:t>90-80%</w:t>
            </w:r>
            <w:r>
              <w:rPr>
                <w:sz w:val="20"/>
              </w:rPr>
              <w:t>（含），计</w:t>
            </w:r>
            <w:r>
              <w:rPr>
                <w:rFonts w:ascii="Times New Roman" w:eastAsia="Times New Roman"/>
                <w:sz w:val="20"/>
              </w:rPr>
              <w:t>1</w:t>
            </w:r>
            <w:r>
              <w:rPr>
                <w:sz w:val="20"/>
              </w:rPr>
              <w:t>分，小于</w:t>
            </w:r>
          </w:p>
          <w:p>
            <w:pPr>
              <w:pStyle w:val="23"/>
              <w:spacing w:before="56"/>
              <w:ind w:left="105"/>
              <w:rPr>
                <w:sz w:val="20"/>
              </w:rPr>
            </w:pPr>
            <w:r>
              <w:rPr>
                <w:rFonts w:ascii="Times New Roman" w:eastAsia="Times New Roman"/>
                <w:sz w:val="20"/>
              </w:rPr>
              <w:t>80%</w:t>
            </w:r>
            <w:r>
              <w:rPr>
                <w:sz w:val="20"/>
              </w:rPr>
              <w:t>不得分。</w:t>
            </w:r>
          </w:p>
        </w:tc>
        <w:tc>
          <w:tcPr>
            <w:tcW w:w="2999" w:type="dxa"/>
          </w:tcPr>
          <w:p>
            <w:pPr>
              <w:pStyle w:val="23"/>
              <w:rPr>
                <w:rFonts w:ascii="Times New Roman"/>
                <w:sz w:val="20"/>
              </w:rPr>
            </w:pPr>
          </w:p>
          <w:p>
            <w:pPr>
              <w:pStyle w:val="23"/>
              <w:spacing w:before="1"/>
              <w:rPr>
                <w:rFonts w:ascii="Times New Roman"/>
                <w:sz w:val="19"/>
              </w:rPr>
            </w:pPr>
          </w:p>
          <w:p>
            <w:pPr>
              <w:pStyle w:val="23"/>
              <w:spacing w:line="292" w:lineRule="auto"/>
              <w:ind w:left="105" w:right="96"/>
              <w:rPr>
                <w:sz w:val="20"/>
              </w:rPr>
            </w:pPr>
            <w:r>
              <w:rPr>
                <w:spacing w:val="11"/>
                <w:sz w:val="20"/>
              </w:rPr>
              <w:t>①单位本年度预算完成数与预</w:t>
            </w:r>
            <w:r>
              <w:rPr>
                <w:spacing w:val="-3"/>
                <w:sz w:val="20"/>
              </w:rPr>
              <w:t>算数的比率，用以反映和考核单位预算完成程度；</w:t>
            </w:r>
          </w:p>
          <w:p>
            <w:pPr>
              <w:pStyle w:val="23"/>
              <w:spacing w:line="292" w:lineRule="auto"/>
              <w:ind w:left="105" w:right="96"/>
              <w:rPr>
                <w:sz w:val="20"/>
              </w:rPr>
            </w:pPr>
            <w:r>
              <w:rPr>
                <w:spacing w:val="11"/>
                <w:sz w:val="20"/>
              </w:rPr>
              <w:t>②单位实际支付进度与既定支</w:t>
            </w:r>
            <w:r>
              <w:rPr>
                <w:spacing w:val="-4"/>
                <w:sz w:val="20"/>
              </w:rPr>
              <w:t>付进度的比率，用以反映和考核</w:t>
            </w:r>
            <w:r>
              <w:rPr>
                <w:spacing w:val="11"/>
                <w:sz w:val="20"/>
              </w:rPr>
              <w:t>部门预算执行的及时性和均衡</w:t>
            </w:r>
            <w:r>
              <w:rPr>
                <w:sz w:val="20"/>
              </w:rPr>
              <w:t>性程度。</w:t>
            </w:r>
          </w:p>
        </w:tc>
        <w:tc>
          <w:tcPr>
            <w:tcW w:w="532" w:type="dxa"/>
            <w:vAlign w:val="center"/>
          </w:tcPr>
          <w:p>
            <w:pPr>
              <w:pStyle w:val="23"/>
              <w:jc w:val="center"/>
              <w:rPr>
                <w:rFonts w:ascii="Times New Roman"/>
                <w:sz w:val="18"/>
                <w:lang w:val="en-US"/>
              </w:rPr>
            </w:pPr>
            <w:r>
              <w:rPr>
                <w:rFonts w:hint="eastAsia" w:ascii="Times New Roman"/>
                <w:sz w:val="18"/>
                <w:lang w:val="en-US"/>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7" w:hRule="atLeast"/>
        </w:trPr>
        <w:tc>
          <w:tcPr>
            <w:tcW w:w="516" w:type="dxa"/>
            <w:vMerge w:val="continue"/>
            <w:tcBorders>
              <w:top w:val="nil"/>
            </w:tcBorders>
          </w:tcPr>
          <w:p>
            <w:pPr>
              <w:rPr>
                <w:sz w:val="2"/>
                <w:szCs w:val="2"/>
              </w:rPr>
            </w:pPr>
          </w:p>
        </w:tc>
        <w:tc>
          <w:tcPr>
            <w:tcW w:w="418" w:type="dxa"/>
            <w:vMerge w:val="continue"/>
            <w:tcBorders>
              <w:top w:val="nil"/>
            </w:tcBorders>
          </w:tcPr>
          <w:p>
            <w:pPr>
              <w:rPr>
                <w:sz w:val="2"/>
                <w:szCs w:val="2"/>
              </w:rPr>
            </w:pPr>
          </w:p>
        </w:tc>
        <w:tc>
          <w:tcPr>
            <w:tcW w:w="677" w:type="dxa"/>
            <w:vMerge w:val="continue"/>
            <w:tcBorders>
              <w:top w:val="nil"/>
            </w:tcBorders>
          </w:tcPr>
          <w:p>
            <w:pPr>
              <w:rPr>
                <w:sz w:val="2"/>
                <w:szCs w:val="2"/>
              </w:rPr>
            </w:pPr>
          </w:p>
        </w:tc>
        <w:tc>
          <w:tcPr>
            <w:tcW w:w="415" w:type="dxa"/>
            <w:vMerge w:val="continue"/>
            <w:tcBorders>
              <w:top w:val="nil"/>
            </w:tcBorders>
          </w:tcPr>
          <w:p>
            <w:pPr>
              <w:rPr>
                <w:sz w:val="2"/>
                <w:szCs w:val="2"/>
              </w:rPr>
            </w:pPr>
          </w:p>
        </w:tc>
        <w:tc>
          <w:tcPr>
            <w:tcW w:w="816" w:type="dxa"/>
          </w:tcPr>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spacing w:before="5"/>
              <w:rPr>
                <w:rFonts w:ascii="Times New Roman"/>
                <w:sz w:val="19"/>
              </w:rPr>
            </w:pPr>
          </w:p>
          <w:p>
            <w:pPr>
              <w:pStyle w:val="23"/>
              <w:spacing w:line="292" w:lineRule="auto"/>
              <w:ind w:left="105" w:right="99" w:firstLine="100"/>
              <w:rPr>
                <w:sz w:val="20"/>
              </w:rPr>
            </w:pPr>
            <w:r>
              <w:rPr>
                <w:sz w:val="20"/>
              </w:rPr>
              <w:t>预算调整率</w:t>
            </w:r>
          </w:p>
        </w:tc>
        <w:tc>
          <w:tcPr>
            <w:tcW w:w="523" w:type="dxa"/>
          </w:tcPr>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spacing w:before="2"/>
              <w:rPr>
                <w:rFonts w:ascii="Times New Roman"/>
                <w:sz w:val="26"/>
              </w:rPr>
            </w:pPr>
          </w:p>
          <w:p>
            <w:pPr>
              <w:pStyle w:val="23"/>
              <w:ind w:left="7"/>
              <w:jc w:val="center"/>
              <w:rPr>
                <w:rFonts w:ascii="Times New Roman"/>
                <w:sz w:val="20"/>
              </w:rPr>
            </w:pPr>
            <w:r>
              <w:rPr>
                <w:rFonts w:ascii="Times New Roman"/>
                <w:w w:val="99"/>
                <w:sz w:val="20"/>
              </w:rPr>
              <w:t>5</w:t>
            </w:r>
          </w:p>
        </w:tc>
        <w:tc>
          <w:tcPr>
            <w:tcW w:w="2853" w:type="dxa"/>
          </w:tcPr>
          <w:p>
            <w:pPr>
              <w:pStyle w:val="23"/>
              <w:rPr>
                <w:rFonts w:ascii="Times New Roman"/>
                <w:sz w:val="22"/>
              </w:rPr>
            </w:pPr>
          </w:p>
          <w:p>
            <w:pPr>
              <w:pStyle w:val="23"/>
              <w:rPr>
                <w:rFonts w:ascii="Times New Roman"/>
                <w:sz w:val="22"/>
              </w:rPr>
            </w:pPr>
          </w:p>
          <w:p>
            <w:pPr>
              <w:pStyle w:val="23"/>
              <w:rPr>
                <w:rFonts w:ascii="Times New Roman"/>
                <w:sz w:val="22"/>
              </w:rPr>
            </w:pPr>
          </w:p>
          <w:p>
            <w:pPr>
              <w:pStyle w:val="23"/>
              <w:spacing w:before="10"/>
              <w:rPr>
                <w:rFonts w:ascii="Times New Roman"/>
                <w:sz w:val="19"/>
              </w:rPr>
            </w:pPr>
          </w:p>
          <w:p>
            <w:pPr>
              <w:pStyle w:val="23"/>
              <w:ind w:left="105"/>
              <w:rPr>
                <w:rFonts w:ascii="Times New Roman" w:eastAsia="Times New Roman"/>
                <w:sz w:val="20"/>
              </w:rPr>
            </w:pPr>
            <w:r>
              <w:rPr>
                <w:sz w:val="20"/>
              </w:rPr>
              <w:t>预算调整率</w:t>
            </w:r>
            <w:r>
              <w:rPr>
                <w:rFonts w:ascii="Times New Roman" w:eastAsia="Times New Roman"/>
                <w:spacing w:val="-18"/>
                <w:sz w:val="20"/>
              </w:rPr>
              <w:t>=0</w:t>
            </w:r>
            <w:r>
              <w:rPr>
                <w:spacing w:val="-24"/>
                <w:sz w:val="20"/>
              </w:rPr>
              <w:t>，计</w:t>
            </w:r>
            <w:r>
              <w:rPr>
                <w:rFonts w:ascii="Times New Roman" w:eastAsia="Times New Roman"/>
                <w:sz w:val="20"/>
              </w:rPr>
              <w:t>5</w:t>
            </w:r>
            <w:r>
              <w:rPr>
                <w:spacing w:val="-5"/>
                <w:sz w:val="20"/>
              </w:rPr>
              <w:t>分；</w:t>
            </w:r>
            <w:r>
              <w:rPr>
                <w:rFonts w:ascii="Times New Roman" w:eastAsia="Times New Roman"/>
                <w:spacing w:val="-9"/>
                <w:sz w:val="20"/>
              </w:rPr>
              <w:t>0-10%</w:t>
            </w:r>
          </w:p>
          <w:p>
            <w:pPr>
              <w:pStyle w:val="23"/>
              <w:spacing w:before="56" w:line="292" w:lineRule="auto"/>
              <w:ind w:left="105" w:right="19"/>
              <w:rPr>
                <w:sz w:val="20"/>
              </w:rPr>
            </w:pPr>
            <w:r>
              <w:rPr>
                <w:sz w:val="20"/>
              </w:rPr>
              <w:t>（含），计</w:t>
            </w:r>
            <w:r>
              <w:rPr>
                <w:rFonts w:ascii="Times New Roman" w:eastAsia="Times New Roman"/>
                <w:sz w:val="20"/>
              </w:rPr>
              <w:t>3</w:t>
            </w:r>
            <w:r>
              <w:rPr>
                <w:sz w:val="20"/>
              </w:rPr>
              <w:t>分；超过</w:t>
            </w:r>
            <w:r>
              <w:rPr>
                <w:rFonts w:ascii="Times New Roman" w:eastAsia="Times New Roman"/>
                <w:sz w:val="20"/>
              </w:rPr>
              <w:t>10%</w:t>
            </w:r>
            <w:r>
              <w:rPr>
                <w:sz w:val="20"/>
              </w:rPr>
              <w:t>不得分</w:t>
            </w:r>
          </w:p>
        </w:tc>
        <w:tc>
          <w:tcPr>
            <w:tcW w:w="2999" w:type="dxa"/>
          </w:tcPr>
          <w:p>
            <w:pPr>
              <w:pStyle w:val="23"/>
              <w:rPr>
                <w:rFonts w:ascii="Times New Roman"/>
                <w:sz w:val="18"/>
              </w:rPr>
            </w:pPr>
          </w:p>
          <w:p>
            <w:pPr>
              <w:pStyle w:val="23"/>
              <w:spacing w:before="1" w:line="292" w:lineRule="auto"/>
              <w:ind w:left="105" w:right="97"/>
              <w:rPr>
                <w:sz w:val="20"/>
              </w:rPr>
            </w:pPr>
            <w:r>
              <w:rPr>
                <w:sz w:val="20"/>
              </w:rPr>
              <w:t>预算调整率</w:t>
            </w:r>
            <w:r>
              <w:rPr>
                <w:rFonts w:ascii="Times New Roman" w:hAnsi="Times New Roman" w:eastAsia="Times New Roman"/>
                <w:sz w:val="20"/>
              </w:rPr>
              <w:t>=</w:t>
            </w:r>
            <w:r>
              <w:rPr>
                <w:sz w:val="20"/>
              </w:rPr>
              <w:t>（预算调整数</w:t>
            </w:r>
            <w:r>
              <w:rPr>
                <w:rFonts w:ascii="Times New Roman" w:hAnsi="Times New Roman" w:eastAsia="Times New Roman"/>
                <w:sz w:val="20"/>
              </w:rPr>
              <w:t>/</w:t>
            </w:r>
            <w:r>
              <w:rPr>
                <w:sz w:val="20"/>
              </w:rPr>
              <w:t>预算数）</w:t>
            </w:r>
            <w:r>
              <w:rPr>
                <w:rFonts w:ascii="Times New Roman" w:hAnsi="Times New Roman" w:eastAsia="Times New Roman"/>
                <w:sz w:val="20"/>
              </w:rPr>
              <w:t>×100%</w:t>
            </w:r>
            <w:r>
              <w:rPr>
                <w:sz w:val="20"/>
              </w:rPr>
              <w:t>。</w:t>
            </w:r>
          </w:p>
          <w:p>
            <w:pPr>
              <w:pStyle w:val="23"/>
              <w:spacing w:line="292" w:lineRule="auto"/>
              <w:ind w:left="105" w:right="84"/>
              <w:rPr>
                <w:sz w:val="20"/>
              </w:rPr>
            </w:pPr>
            <w:r>
              <w:rPr>
                <w:sz w:val="20"/>
              </w:rPr>
              <w:t>预算调整数：单位在本年度内涉及预算的追加、追减或结构调整的资金总和（因落实国家政策、发生不可抗力、上级部门或本级</w:t>
            </w:r>
            <w:r>
              <w:rPr>
                <w:w w:val="95"/>
                <w:sz w:val="20"/>
              </w:rPr>
              <w:t>党委政府临时交办而产生的调</w:t>
            </w:r>
            <w:r>
              <w:rPr>
                <w:sz w:val="20"/>
              </w:rPr>
              <w:t>整除外）。</w:t>
            </w:r>
          </w:p>
        </w:tc>
        <w:tc>
          <w:tcPr>
            <w:tcW w:w="532" w:type="dxa"/>
            <w:vAlign w:val="center"/>
          </w:tcPr>
          <w:p>
            <w:pPr>
              <w:pStyle w:val="23"/>
              <w:jc w:val="center"/>
              <w:rPr>
                <w:rFonts w:ascii="Times New Roman"/>
                <w:sz w:val="18"/>
                <w:lang w:val="en-US"/>
              </w:rPr>
            </w:pPr>
            <w:r>
              <w:rPr>
                <w:rFonts w:hint="eastAsia" w:ascii="Times New Roman"/>
                <w:sz w:val="18"/>
                <w:lang w:val="en-US"/>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3" w:hRule="atLeast"/>
        </w:trPr>
        <w:tc>
          <w:tcPr>
            <w:tcW w:w="516" w:type="dxa"/>
            <w:vMerge w:val="continue"/>
            <w:tcBorders>
              <w:top w:val="nil"/>
            </w:tcBorders>
          </w:tcPr>
          <w:p>
            <w:pPr>
              <w:rPr>
                <w:sz w:val="2"/>
                <w:szCs w:val="2"/>
              </w:rPr>
            </w:pPr>
          </w:p>
        </w:tc>
        <w:tc>
          <w:tcPr>
            <w:tcW w:w="418" w:type="dxa"/>
            <w:vMerge w:val="continue"/>
            <w:tcBorders>
              <w:top w:val="nil"/>
            </w:tcBorders>
          </w:tcPr>
          <w:p>
            <w:pPr>
              <w:rPr>
                <w:sz w:val="2"/>
                <w:szCs w:val="2"/>
              </w:rPr>
            </w:pPr>
          </w:p>
        </w:tc>
        <w:tc>
          <w:tcPr>
            <w:tcW w:w="677" w:type="dxa"/>
            <w:vMerge w:val="continue"/>
            <w:tcBorders>
              <w:top w:val="nil"/>
            </w:tcBorders>
          </w:tcPr>
          <w:p>
            <w:pPr>
              <w:rPr>
                <w:sz w:val="2"/>
                <w:szCs w:val="2"/>
              </w:rPr>
            </w:pPr>
          </w:p>
        </w:tc>
        <w:tc>
          <w:tcPr>
            <w:tcW w:w="415" w:type="dxa"/>
            <w:vMerge w:val="continue"/>
            <w:tcBorders>
              <w:top w:val="nil"/>
            </w:tcBorders>
          </w:tcPr>
          <w:p>
            <w:pPr>
              <w:rPr>
                <w:sz w:val="2"/>
                <w:szCs w:val="2"/>
              </w:rPr>
            </w:pPr>
          </w:p>
        </w:tc>
        <w:tc>
          <w:tcPr>
            <w:tcW w:w="816" w:type="dxa"/>
          </w:tcPr>
          <w:p>
            <w:pPr>
              <w:pStyle w:val="23"/>
              <w:rPr>
                <w:rFonts w:ascii="Times New Roman"/>
                <w:sz w:val="20"/>
              </w:rPr>
            </w:pPr>
          </w:p>
          <w:p>
            <w:pPr>
              <w:pStyle w:val="23"/>
              <w:rPr>
                <w:rFonts w:ascii="Times New Roman"/>
                <w:sz w:val="20"/>
              </w:rPr>
            </w:pPr>
          </w:p>
          <w:p>
            <w:pPr>
              <w:pStyle w:val="23"/>
              <w:spacing w:before="10"/>
              <w:rPr>
                <w:rFonts w:ascii="Times New Roman"/>
                <w:sz w:val="16"/>
              </w:rPr>
            </w:pPr>
          </w:p>
          <w:p>
            <w:pPr>
              <w:pStyle w:val="23"/>
              <w:spacing w:line="292" w:lineRule="auto"/>
              <w:ind w:left="105" w:right="99" w:firstLine="100"/>
              <w:rPr>
                <w:sz w:val="20"/>
              </w:rPr>
            </w:pPr>
            <w:r>
              <w:rPr>
                <w:sz w:val="20"/>
              </w:rPr>
              <w:t>结转结余率</w:t>
            </w:r>
          </w:p>
        </w:tc>
        <w:tc>
          <w:tcPr>
            <w:tcW w:w="523" w:type="dxa"/>
          </w:tcPr>
          <w:p>
            <w:pPr>
              <w:pStyle w:val="23"/>
              <w:rPr>
                <w:rFonts w:ascii="Times New Roman"/>
                <w:sz w:val="22"/>
              </w:rPr>
            </w:pPr>
          </w:p>
          <w:p>
            <w:pPr>
              <w:pStyle w:val="23"/>
              <w:rPr>
                <w:rFonts w:ascii="Times New Roman"/>
                <w:sz w:val="22"/>
              </w:rPr>
            </w:pPr>
          </w:p>
          <w:p>
            <w:pPr>
              <w:pStyle w:val="23"/>
              <w:spacing w:before="7"/>
              <w:rPr>
                <w:rFonts w:ascii="Times New Roman"/>
                <w:sz w:val="27"/>
              </w:rPr>
            </w:pPr>
          </w:p>
          <w:p>
            <w:pPr>
              <w:pStyle w:val="23"/>
              <w:ind w:left="7"/>
              <w:jc w:val="center"/>
              <w:rPr>
                <w:rFonts w:ascii="Times New Roman"/>
                <w:sz w:val="20"/>
              </w:rPr>
            </w:pPr>
            <w:r>
              <w:rPr>
                <w:rFonts w:ascii="Times New Roman"/>
                <w:w w:val="99"/>
                <w:sz w:val="20"/>
              </w:rPr>
              <w:t>5</w:t>
            </w:r>
          </w:p>
        </w:tc>
        <w:tc>
          <w:tcPr>
            <w:tcW w:w="2853" w:type="dxa"/>
          </w:tcPr>
          <w:p>
            <w:pPr>
              <w:pStyle w:val="23"/>
              <w:spacing w:before="3"/>
              <w:rPr>
                <w:rFonts w:ascii="Times New Roman"/>
                <w:sz w:val="29"/>
              </w:rPr>
            </w:pPr>
          </w:p>
          <w:p>
            <w:pPr>
              <w:pStyle w:val="23"/>
              <w:spacing w:line="278" w:lineRule="auto"/>
              <w:ind w:left="105" w:right="99"/>
            </w:pPr>
            <w:r>
              <w:rPr>
                <w:spacing w:val="-15"/>
              </w:rPr>
              <w:t>无结转结余数</w:t>
            </w:r>
            <w:r>
              <w:t>（</w:t>
            </w:r>
            <w:r>
              <w:rPr>
                <w:spacing w:val="-2"/>
              </w:rPr>
              <w:t>含本年度只结</w:t>
            </w:r>
            <w:r>
              <w:rPr>
                <w:spacing w:val="8"/>
              </w:rPr>
              <w:t>转了一次当年上级转移支付</w:t>
            </w:r>
            <w:r>
              <w:t>资金</w:t>
            </w:r>
            <w:r>
              <w:rPr>
                <w:spacing w:val="-46"/>
              </w:rPr>
              <w:t>）</w:t>
            </w:r>
            <w:r>
              <w:rPr>
                <w:spacing w:val="-8"/>
              </w:rPr>
              <w:t>得满分，其余情况不得</w:t>
            </w:r>
            <w:r>
              <w:t>分。</w:t>
            </w:r>
          </w:p>
        </w:tc>
        <w:tc>
          <w:tcPr>
            <w:tcW w:w="2999" w:type="dxa"/>
          </w:tcPr>
          <w:p>
            <w:pPr>
              <w:pStyle w:val="23"/>
              <w:spacing w:before="186" w:line="292" w:lineRule="auto"/>
              <w:ind w:left="105" w:right="97"/>
              <w:rPr>
                <w:rFonts w:ascii="Times New Roman" w:hAnsi="Times New Roman" w:eastAsia="Times New Roman"/>
                <w:sz w:val="20"/>
              </w:rPr>
            </w:pPr>
            <w:r>
              <w:rPr>
                <w:sz w:val="20"/>
              </w:rPr>
              <w:t>结转结余率</w:t>
            </w:r>
            <w:r>
              <w:rPr>
                <w:rFonts w:ascii="Times New Roman" w:hAnsi="Times New Roman" w:eastAsia="Times New Roman"/>
                <w:sz w:val="20"/>
              </w:rPr>
              <w:t>=</w:t>
            </w:r>
            <w:r>
              <w:rPr>
                <w:sz w:val="20"/>
              </w:rPr>
              <w:t>结转结余总额</w:t>
            </w:r>
            <w:r>
              <w:rPr>
                <w:rFonts w:ascii="Times New Roman" w:hAnsi="Times New Roman" w:eastAsia="Times New Roman"/>
                <w:sz w:val="20"/>
              </w:rPr>
              <w:t>/</w:t>
            </w:r>
            <w:r>
              <w:rPr>
                <w:sz w:val="20"/>
              </w:rPr>
              <w:t>支出预算数</w:t>
            </w:r>
            <w:r>
              <w:rPr>
                <w:rFonts w:ascii="Times New Roman" w:hAnsi="Times New Roman" w:eastAsia="Times New Roman"/>
                <w:sz w:val="20"/>
              </w:rPr>
              <w:t>×100%</w:t>
            </w:r>
          </w:p>
          <w:p>
            <w:pPr>
              <w:pStyle w:val="23"/>
              <w:spacing w:line="292" w:lineRule="auto"/>
              <w:ind w:left="105" w:right="97"/>
              <w:rPr>
                <w:sz w:val="20"/>
              </w:rPr>
            </w:pPr>
            <w:r>
              <w:rPr>
                <w:spacing w:val="-4"/>
                <w:sz w:val="20"/>
              </w:rPr>
              <w:t>结转结余总额：单位本年度的结</w:t>
            </w:r>
            <w:r>
              <w:rPr>
                <w:spacing w:val="-2"/>
                <w:sz w:val="20"/>
              </w:rPr>
              <w:t>转资金与结余资金之和</w:t>
            </w:r>
            <w:r>
              <w:rPr>
                <w:sz w:val="20"/>
              </w:rPr>
              <w:t>（</w:t>
            </w:r>
            <w:r>
              <w:rPr>
                <w:spacing w:val="-4"/>
                <w:sz w:val="20"/>
              </w:rPr>
              <w:t>以决算</w:t>
            </w:r>
            <w:r>
              <w:rPr>
                <w:sz w:val="20"/>
              </w:rPr>
              <w:t>为准）</w:t>
            </w:r>
          </w:p>
        </w:tc>
        <w:tc>
          <w:tcPr>
            <w:tcW w:w="532" w:type="dxa"/>
            <w:vAlign w:val="center"/>
          </w:tcPr>
          <w:p>
            <w:pPr>
              <w:pStyle w:val="23"/>
              <w:jc w:val="center"/>
              <w:rPr>
                <w:rFonts w:ascii="Times New Roman"/>
                <w:sz w:val="18"/>
                <w:lang w:val="en-US"/>
              </w:rPr>
            </w:pPr>
            <w:r>
              <w:rPr>
                <w:rFonts w:hint="eastAsia" w:ascii="Times New Roman"/>
                <w:sz w:val="18"/>
                <w:lang w:val="en-US"/>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51" w:hRule="atLeast"/>
        </w:trPr>
        <w:tc>
          <w:tcPr>
            <w:tcW w:w="516" w:type="dxa"/>
            <w:vMerge w:val="continue"/>
            <w:tcBorders>
              <w:top w:val="nil"/>
            </w:tcBorders>
          </w:tcPr>
          <w:p>
            <w:pPr>
              <w:rPr>
                <w:sz w:val="2"/>
                <w:szCs w:val="2"/>
              </w:rPr>
            </w:pPr>
          </w:p>
        </w:tc>
        <w:tc>
          <w:tcPr>
            <w:tcW w:w="418" w:type="dxa"/>
            <w:vMerge w:val="continue"/>
            <w:tcBorders>
              <w:top w:val="nil"/>
            </w:tcBorders>
          </w:tcPr>
          <w:p>
            <w:pPr>
              <w:rPr>
                <w:sz w:val="2"/>
                <w:szCs w:val="2"/>
              </w:rPr>
            </w:pPr>
          </w:p>
        </w:tc>
        <w:tc>
          <w:tcPr>
            <w:tcW w:w="677" w:type="dxa"/>
            <w:vMerge w:val="continue"/>
            <w:tcBorders>
              <w:top w:val="nil"/>
            </w:tcBorders>
          </w:tcPr>
          <w:p>
            <w:pPr>
              <w:rPr>
                <w:sz w:val="2"/>
                <w:szCs w:val="2"/>
              </w:rPr>
            </w:pPr>
          </w:p>
        </w:tc>
        <w:tc>
          <w:tcPr>
            <w:tcW w:w="415" w:type="dxa"/>
            <w:vMerge w:val="continue"/>
            <w:tcBorders>
              <w:top w:val="nil"/>
            </w:tcBorders>
          </w:tcPr>
          <w:p>
            <w:pPr>
              <w:rPr>
                <w:sz w:val="2"/>
                <w:szCs w:val="2"/>
              </w:rPr>
            </w:pPr>
          </w:p>
        </w:tc>
        <w:tc>
          <w:tcPr>
            <w:tcW w:w="816" w:type="dxa"/>
          </w:tcPr>
          <w:p>
            <w:pPr>
              <w:pStyle w:val="23"/>
              <w:rPr>
                <w:rFonts w:ascii="Times New Roman"/>
                <w:sz w:val="20"/>
              </w:rPr>
            </w:pPr>
          </w:p>
          <w:p>
            <w:pPr>
              <w:pStyle w:val="23"/>
              <w:spacing w:before="7"/>
              <w:rPr>
                <w:rFonts w:ascii="Times New Roman"/>
                <w:sz w:val="17"/>
              </w:rPr>
            </w:pPr>
          </w:p>
          <w:p>
            <w:pPr>
              <w:pStyle w:val="23"/>
              <w:spacing w:before="1" w:line="292" w:lineRule="auto"/>
              <w:ind w:left="105" w:right="99" w:firstLine="100"/>
              <w:rPr>
                <w:sz w:val="20"/>
              </w:rPr>
            </w:pPr>
            <w:r>
              <w:rPr>
                <w:sz w:val="20"/>
              </w:rPr>
              <w:t>公用经费控制率</w:t>
            </w:r>
          </w:p>
        </w:tc>
        <w:tc>
          <w:tcPr>
            <w:tcW w:w="523" w:type="dxa"/>
          </w:tcPr>
          <w:p>
            <w:pPr>
              <w:pStyle w:val="23"/>
              <w:rPr>
                <w:rFonts w:ascii="Times New Roman"/>
                <w:sz w:val="22"/>
              </w:rPr>
            </w:pPr>
          </w:p>
          <w:p>
            <w:pPr>
              <w:pStyle w:val="23"/>
              <w:rPr>
                <w:rFonts w:ascii="Times New Roman"/>
                <w:sz w:val="22"/>
              </w:rPr>
            </w:pPr>
          </w:p>
          <w:p>
            <w:pPr>
              <w:pStyle w:val="23"/>
              <w:spacing w:before="11"/>
              <w:rPr>
                <w:rFonts w:ascii="Times New Roman"/>
              </w:rPr>
            </w:pPr>
          </w:p>
          <w:p>
            <w:pPr>
              <w:pStyle w:val="23"/>
              <w:ind w:left="7"/>
              <w:jc w:val="center"/>
              <w:rPr>
                <w:rFonts w:ascii="Times New Roman"/>
                <w:sz w:val="20"/>
              </w:rPr>
            </w:pPr>
            <w:r>
              <w:rPr>
                <w:rFonts w:ascii="Times New Roman"/>
                <w:w w:val="99"/>
                <w:sz w:val="20"/>
              </w:rPr>
              <w:t>5</w:t>
            </w:r>
          </w:p>
        </w:tc>
        <w:tc>
          <w:tcPr>
            <w:tcW w:w="2853" w:type="dxa"/>
          </w:tcPr>
          <w:p>
            <w:pPr>
              <w:pStyle w:val="23"/>
              <w:rPr>
                <w:rFonts w:ascii="Times New Roman"/>
                <w:sz w:val="22"/>
              </w:rPr>
            </w:pPr>
          </w:p>
          <w:p>
            <w:pPr>
              <w:pStyle w:val="23"/>
              <w:spacing w:before="2"/>
              <w:rPr>
                <w:rFonts w:ascii="Times New Roman"/>
                <w:sz w:val="29"/>
              </w:rPr>
            </w:pPr>
          </w:p>
          <w:p>
            <w:pPr>
              <w:pStyle w:val="23"/>
              <w:spacing w:before="1" w:line="292" w:lineRule="auto"/>
              <w:ind w:left="105" w:right="45"/>
              <w:rPr>
                <w:sz w:val="20"/>
              </w:rPr>
            </w:pPr>
            <w:r>
              <w:rPr>
                <w:rFonts w:ascii="Times New Roman" w:eastAsia="Times New Roman"/>
                <w:sz w:val="20"/>
              </w:rPr>
              <w:t>100%</w:t>
            </w:r>
            <w:r>
              <w:rPr>
                <w:sz w:val="20"/>
              </w:rPr>
              <w:t>以下（含）计满分，每超出</w:t>
            </w:r>
            <w:r>
              <w:rPr>
                <w:rFonts w:ascii="Times New Roman" w:eastAsia="Times New Roman"/>
                <w:sz w:val="20"/>
              </w:rPr>
              <w:t>1%</w:t>
            </w:r>
            <w:r>
              <w:rPr>
                <w:sz w:val="20"/>
              </w:rPr>
              <w:t>扣</w:t>
            </w:r>
            <w:r>
              <w:rPr>
                <w:rFonts w:ascii="Times New Roman" w:eastAsia="Times New Roman"/>
                <w:sz w:val="20"/>
              </w:rPr>
              <w:t>1</w:t>
            </w:r>
            <w:r>
              <w:rPr>
                <w:sz w:val="20"/>
              </w:rPr>
              <w:t>分，扣完为止。</w:t>
            </w:r>
          </w:p>
        </w:tc>
        <w:tc>
          <w:tcPr>
            <w:tcW w:w="2999" w:type="dxa"/>
          </w:tcPr>
          <w:p>
            <w:pPr>
              <w:pStyle w:val="23"/>
              <w:spacing w:before="121" w:line="292" w:lineRule="auto"/>
              <w:ind w:left="105" w:right="97"/>
              <w:rPr>
                <w:sz w:val="20"/>
              </w:rPr>
            </w:pPr>
            <w:r>
              <w:rPr>
                <w:sz w:val="20"/>
              </w:rPr>
              <w:t>公用经费控制率</w:t>
            </w:r>
            <w:r>
              <w:rPr>
                <w:rFonts w:ascii="Times New Roman" w:hAnsi="Times New Roman" w:eastAsia="Times New Roman"/>
                <w:sz w:val="20"/>
              </w:rPr>
              <w:t>=</w:t>
            </w:r>
            <w:r>
              <w:rPr>
                <w:sz w:val="20"/>
              </w:rPr>
              <w:t>（实际支出公</w:t>
            </w:r>
            <w:r>
              <w:rPr>
                <w:w w:val="95"/>
                <w:sz w:val="20"/>
              </w:rPr>
              <w:t>用经费总额</w:t>
            </w:r>
            <w:r>
              <w:rPr>
                <w:rFonts w:ascii="Times New Roman" w:hAnsi="Times New Roman" w:eastAsia="Times New Roman"/>
                <w:w w:val="95"/>
                <w:sz w:val="20"/>
              </w:rPr>
              <w:t>/</w:t>
            </w:r>
            <w:r>
              <w:rPr>
                <w:w w:val="95"/>
                <w:sz w:val="20"/>
              </w:rPr>
              <w:t>预算安排公用经费</w:t>
            </w:r>
            <w:r>
              <w:rPr>
                <w:sz w:val="20"/>
              </w:rPr>
              <w:t>总额）</w:t>
            </w:r>
            <w:r>
              <w:rPr>
                <w:rFonts w:ascii="Times New Roman" w:hAnsi="Times New Roman" w:eastAsia="Times New Roman"/>
                <w:sz w:val="20"/>
              </w:rPr>
              <w:t>×100%</w:t>
            </w:r>
            <w:r>
              <w:rPr>
                <w:sz w:val="20"/>
              </w:rPr>
              <w:t>。</w:t>
            </w:r>
          </w:p>
          <w:p>
            <w:pPr>
              <w:pStyle w:val="23"/>
              <w:spacing w:line="292" w:lineRule="auto"/>
              <w:ind w:left="105" w:right="96"/>
              <w:rPr>
                <w:sz w:val="20"/>
              </w:rPr>
            </w:pPr>
            <w:r>
              <w:rPr>
                <w:sz w:val="20"/>
              </w:rPr>
              <w:t>公用经费支出是指部门基本支出中的一般商品和服务支出。</w:t>
            </w:r>
          </w:p>
        </w:tc>
        <w:tc>
          <w:tcPr>
            <w:tcW w:w="532" w:type="dxa"/>
            <w:vAlign w:val="center"/>
          </w:tcPr>
          <w:p>
            <w:pPr>
              <w:pStyle w:val="23"/>
              <w:jc w:val="center"/>
              <w:rPr>
                <w:rFonts w:ascii="Times New Roman"/>
                <w:sz w:val="18"/>
                <w:lang w:val="en-US"/>
              </w:rPr>
            </w:pPr>
            <w:r>
              <w:rPr>
                <w:rFonts w:hint="eastAsia" w:ascii="Times New Roman"/>
                <w:sz w:val="18"/>
                <w:lang w:val="en-US"/>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49" w:hRule="atLeast"/>
        </w:trPr>
        <w:tc>
          <w:tcPr>
            <w:tcW w:w="516" w:type="dxa"/>
            <w:vMerge w:val="continue"/>
            <w:tcBorders>
              <w:top w:val="nil"/>
            </w:tcBorders>
          </w:tcPr>
          <w:p>
            <w:pPr>
              <w:rPr>
                <w:sz w:val="2"/>
                <w:szCs w:val="2"/>
              </w:rPr>
            </w:pPr>
          </w:p>
        </w:tc>
        <w:tc>
          <w:tcPr>
            <w:tcW w:w="418" w:type="dxa"/>
            <w:vMerge w:val="continue"/>
            <w:tcBorders>
              <w:top w:val="nil"/>
            </w:tcBorders>
          </w:tcPr>
          <w:p>
            <w:pPr>
              <w:rPr>
                <w:sz w:val="2"/>
                <w:szCs w:val="2"/>
              </w:rPr>
            </w:pPr>
          </w:p>
        </w:tc>
        <w:tc>
          <w:tcPr>
            <w:tcW w:w="677" w:type="dxa"/>
            <w:vMerge w:val="continue"/>
            <w:tcBorders>
              <w:top w:val="nil"/>
            </w:tcBorders>
          </w:tcPr>
          <w:p>
            <w:pPr>
              <w:rPr>
                <w:sz w:val="2"/>
                <w:szCs w:val="2"/>
              </w:rPr>
            </w:pPr>
          </w:p>
        </w:tc>
        <w:tc>
          <w:tcPr>
            <w:tcW w:w="415" w:type="dxa"/>
            <w:vMerge w:val="continue"/>
            <w:tcBorders>
              <w:top w:val="nil"/>
            </w:tcBorders>
          </w:tcPr>
          <w:p>
            <w:pPr>
              <w:rPr>
                <w:sz w:val="2"/>
                <w:szCs w:val="2"/>
              </w:rPr>
            </w:pPr>
          </w:p>
        </w:tc>
        <w:tc>
          <w:tcPr>
            <w:tcW w:w="816" w:type="dxa"/>
          </w:tcPr>
          <w:p>
            <w:pPr>
              <w:pStyle w:val="23"/>
              <w:spacing w:before="131"/>
              <w:ind w:left="162"/>
              <w:rPr>
                <w:sz w:val="20"/>
              </w:rPr>
            </w:pPr>
            <w:r>
              <w:rPr>
                <w:rFonts w:ascii="Times New Roman" w:hAnsi="Times New Roman" w:eastAsia="Times New Roman"/>
                <w:sz w:val="20"/>
              </w:rPr>
              <w:t>“</w:t>
            </w:r>
            <w:r>
              <w:rPr>
                <w:sz w:val="20"/>
              </w:rPr>
              <w:t>三公</w:t>
            </w:r>
          </w:p>
          <w:p>
            <w:pPr>
              <w:pStyle w:val="23"/>
              <w:spacing w:before="55" w:line="292" w:lineRule="auto"/>
              <w:ind w:left="105" w:right="99" w:firstLine="57"/>
              <w:rPr>
                <w:sz w:val="20"/>
              </w:rPr>
            </w:pPr>
            <w:r>
              <w:rPr>
                <w:sz w:val="20"/>
              </w:rPr>
              <w:t>经费</w:t>
            </w:r>
            <w:r>
              <w:rPr>
                <w:rFonts w:ascii="Times New Roman" w:hAnsi="Times New Roman" w:eastAsia="Times New Roman"/>
                <w:sz w:val="20"/>
              </w:rPr>
              <w:t>”</w:t>
            </w:r>
            <w:r>
              <w:rPr>
                <w:sz w:val="20"/>
              </w:rPr>
              <w:t>控制率</w:t>
            </w:r>
          </w:p>
        </w:tc>
        <w:tc>
          <w:tcPr>
            <w:tcW w:w="523" w:type="dxa"/>
          </w:tcPr>
          <w:p>
            <w:pPr>
              <w:pStyle w:val="23"/>
              <w:rPr>
                <w:rFonts w:ascii="Times New Roman"/>
                <w:sz w:val="22"/>
              </w:rPr>
            </w:pPr>
          </w:p>
          <w:p>
            <w:pPr>
              <w:pStyle w:val="23"/>
              <w:spacing w:before="7"/>
              <w:rPr>
                <w:rFonts w:ascii="Times New Roman"/>
                <w:sz w:val="17"/>
              </w:rPr>
            </w:pPr>
          </w:p>
          <w:p>
            <w:pPr>
              <w:pStyle w:val="23"/>
              <w:spacing w:before="1"/>
              <w:ind w:left="7"/>
              <w:jc w:val="center"/>
              <w:rPr>
                <w:rFonts w:ascii="Times New Roman"/>
                <w:sz w:val="20"/>
              </w:rPr>
            </w:pPr>
            <w:r>
              <w:rPr>
                <w:rFonts w:ascii="Times New Roman"/>
                <w:w w:val="99"/>
                <w:sz w:val="20"/>
              </w:rPr>
              <w:t>5</w:t>
            </w:r>
          </w:p>
        </w:tc>
        <w:tc>
          <w:tcPr>
            <w:tcW w:w="2853" w:type="dxa"/>
          </w:tcPr>
          <w:p>
            <w:pPr>
              <w:pStyle w:val="23"/>
              <w:spacing w:before="11"/>
              <w:rPr>
                <w:rFonts w:ascii="Times New Roman"/>
                <w:sz w:val="24"/>
              </w:rPr>
            </w:pPr>
          </w:p>
          <w:p>
            <w:pPr>
              <w:pStyle w:val="23"/>
              <w:spacing w:line="292" w:lineRule="auto"/>
              <w:ind w:left="105" w:right="45"/>
              <w:rPr>
                <w:sz w:val="20"/>
              </w:rPr>
            </w:pPr>
            <w:r>
              <w:rPr>
                <w:rFonts w:ascii="Times New Roman" w:eastAsia="Times New Roman"/>
                <w:sz w:val="20"/>
              </w:rPr>
              <w:t>100%</w:t>
            </w:r>
            <w:r>
              <w:rPr>
                <w:sz w:val="20"/>
              </w:rPr>
              <w:t>以下（含）计满分，每超出</w:t>
            </w:r>
            <w:r>
              <w:rPr>
                <w:rFonts w:ascii="Times New Roman" w:eastAsia="Times New Roman"/>
                <w:sz w:val="20"/>
              </w:rPr>
              <w:t>1%</w:t>
            </w:r>
            <w:r>
              <w:rPr>
                <w:sz w:val="20"/>
              </w:rPr>
              <w:t>扣</w:t>
            </w:r>
            <w:r>
              <w:rPr>
                <w:rFonts w:ascii="Times New Roman" w:eastAsia="Times New Roman"/>
                <w:sz w:val="20"/>
              </w:rPr>
              <w:t>1</w:t>
            </w:r>
            <w:r>
              <w:rPr>
                <w:sz w:val="20"/>
              </w:rPr>
              <w:t>分，扣完为止。</w:t>
            </w:r>
          </w:p>
        </w:tc>
        <w:tc>
          <w:tcPr>
            <w:tcW w:w="2999" w:type="dxa"/>
          </w:tcPr>
          <w:p>
            <w:pPr>
              <w:pStyle w:val="23"/>
              <w:spacing w:before="131" w:line="292" w:lineRule="auto"/>
              <w:ind w:left="105" w:right="92"/>
              <w:rPr>
                <w:sz w:val="20"/>
              </w:rPr>
            </w:pPr>
            <w:r>
              <w:rPr>
                <w:rFonts w:ascii="Times New Roman" w:hAnsi="Times New Roman" w:eastAsia="Times New Roman"/>
                <w:w w:val="99"/>
                <w:sz w:val="20"/>
              </w:rPr>
              <w:t>“</w:t>
            </w:r>
            <w:r>
              <w:rPr>
                <w:w w:val="99"/>
                <w:sz w:val="20"/>
              </w:rPr>
              <w:t>三公经费</w:t>
            </w:r>
            <w:r>
              <w:rPr>
                <w:rFonts w:ascii="Times New Roman" w:hAnsi="Times New Roman" w:eastAsia="Times New Roman"/>
                <w:w w:val="99"/>
                <w:sz w:val="20"/>
              </w:rPr>
              <w:t>”</w:t>
            </w:r>
            <w:r>
              <w:rPr>
                <w:w w:val="99"/>
                <w:sz w:val="20"/>
              </w:rPr>
              <w:t>控制率</w:t>
            </w:r>
            <w:r>
              <w:rPr>
                <w:rFonts w:ascii="Times New Roman" w:hAnsi="Times New Roman" w:eastAsia="Times New Roman"/>
                <w:spacing w:val="-82"/>
                <w:w w:val="99"/>
                <w:sz w:val="20"/>
              </w:rPr>
              <w:t>=</w:t>
            </w:r>
            <w:r>
              <w:rPr>
                <w:w w:val="99"/>
                <w:sz w:val="20"/>
              </w:rPr>
              <w:t>（</w:t>
            </w:r>
            <w:r>
              <w:rPr>
                <w:rFonts w:ascii="Times New Roman" w:hAnsi="Times New Roman" w:eastAsia="Times New Roman"/>
                <w:w w:val="99"/>
                <w:sz w:val="20"/>
              </w:rPr>
              <w:t>“</w:t>
            </w:r>
            <w:r>
              <w:rPr>
                <w:w w:val="99"/>
                <w:sz w:val="20"/>
              </w:rPr>
              <w:t>三公经费</w:t>
            </w:r>
            <w:r>
              <w:rPr>
                <w:rFonts w:ascii="Times New Roman" w:hAnsi="Times New Roman" w:eastAsia="Times New Roman"/>
                <w:w w:val="99"/>
                <w:sz w:val="20"/>
              </w:rPr>
              <w:t>”</w:t>
            </w:r>
            <w:r>
              <w:rPr>
                <w:spacing w:val="12"/>
                <w:w w:val="95"/>
                <w:sz w:val="20"/>
              </w:rPr>
              <w:t>实际支出数</w:t>
            </w:r>
            <w:r>
              <w:rPr>
                <w:rFonts w:ascii="Times New Roman" w:hAnsi="Times New Roman" w:eastAsia="Times New Roman"/>
                <w:spacing w:val="5"/>
                <w:w w:val="95"/>
                <w:sz w:val="20"/>
              </w:rPr>
              <w:t>/“</w:t>
            </w:r>
            <w:r>
              <w:rPr>
                <w:spacing w:val="12"/>
                <w:w w:val="95"/>
                <w:sz w:val="20"/>
              </w:rPr>
              <w:t>三公经费</w:t>
            </w:r>
            <w:r>
              <w:rPr>
                <w:rFonts w:ascii="Times New Roman" w:hAnsi="Times New Roman" w:eastAsia="Times New Roman"/>
                <w:spacing w:val="12"/>
                <w:w w:val="95"/>
                <w:sz w:val="20"/>
              </w:rPr>
              <w:t>”</w:t>
            </w:r>
            <w:r>
              <w:rPr>
                <w:spacing w:val="8"/>
                <w:w w:val="95"/>
                <w:sz w:val="20"/>
              </w:rPr>
              <w:t>预算安</w:t>
            </w:r>
            <w:r>
              <w:rPr>
                <w:spacing w:val="8"/>
                <w:sz w:val="20"/>
              </w:rPr>
              <w:t>排数）</w:t>
            </w:r>
            <w:r>
              <w:rPr>
                <w:rFonts w:ascii="Times New Roman" w:hAnsi="Times New Roman" w:eastAsia="Times New Roman"/>
                <w:spacing w:val="8"/>
                <w:sz w:val="20"/>
              </w:rPr>
              <w:t>×100%</w:t>
            </w:r>
            <w:r>
              <w:rPr>
                <w:spacing w:val="8"/>
                <w:sz w:val="20"/>
              </w:rPr>
              <w:t>。</w:t>
            </w:r>
          </w:p>
        </w:tc>
        <w:tc>
          <w:tcPr>
            <w:tcW w:w="532" w:type="dxa"/>
            <w:vAlign w:val="center"/>
          </w:tcPr>
          <w:p>
            <w:pPr>
              <w:pStyle w:val="23"/>
              <w:jc w:val="center"/>
              <w:rPr>
                <w:rFonts w:ascii="Times New Roman"/>
                <w:sz w:val="18"/>
                <w:lang w:val="en-US"/>
              </w:rPr>
            </w:pPr>
            <w:r>
              <w:rPr>
                <w:rFonts w:hint="eastAsia" w:ascii="Times New Roman"/>
                <w:sz w:val="18"/>
                <w:lang w:val="en-US"/>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4" w:hRule="atLeast"/>
        </w:trPr>
        <w:tc>
          <w:tcPr>
            <w:tcW w:w="516" w:type="dxa"/>
            <w:vMerge w:val="continue"/>
            <w:tcBorders>
              <w:top w:val="nil"/>
            </w:tcBorders>
          </w:tcPr>
          <w:p>
            <w:pPr>
              <w:rPr>
                <w:sz w:val="2"/>
                <w:szCs w:val="2"/>
              </w:rPr>
            </w:pPr>
          </w:p>
        </w:tc>
        <w:tc>
          <w:tcPr>
            <w:tcW w:w="418" w:type="dxa"/>
            <w:vMerge w:val="continue"/>
            <w:tcBorders>
              <w:top w:val="nil"/>
            </w:tcBorders>
          </w:tcPr>
          <w:p>
            <w:pPr>
              <w:rPr>
                <w:sz w:val="2"/>
                <w:szCs w:val="2"/>
              </w:rPr>
            </w:pPr>
          </w:p>
        </w:tc>
        <w:tc>
          <w:tcPr>
            <w:tcW w:w="677" w:type="dxa"/>
            <w:vMerge w:val="continue"/>
            <w:tcBorders>
              <w:top w:val="nil"/>
            </w:tcBorders>
          </w:tcPr>
          <w:p>
            <w:pPr>
              <w:rPr>
                <w:sz w:val="2"/>
                <w:szCs w:val="2"/>
              </w:rPr>
            </w:pPr>
          </w:p>
        </w:tc>
        <w:tc>
          <w:tcPr>
            <w:tcW w:w="415" w:type="dxa"/>
            <w:vMerge w:val="continue"/>
            <w:tcBorders>
              <w:top w:val="nil"/>
            </w:tcBorders>
          </w:tcPr>
          <w:p>
            <w:pPr>
              <w:rPr>
                <w:sz w:val="2"/>
                <w:szCs w:val="2"/>
              </w:rPr>
            </w:pPr>
          </w:p>
        </w:tc>
        <w:tc>
          <w:tcPr>
            <w:tcW w:w="816" w:type="dxa"/>
          </w:tcPr>
          <w:p>
            <w:pPr>
              <w:pStyle w:val="23"/>
              <w:spacing w:before="3"/>
              <w:rPr>
                <w:rFonts w:ascii="Times New Roman"/>
                <w:sz w:val="19"/>
              </w:rPr>
            </w:pPr>
          </w:p>
          <w:p>
            <w:pPr>
              <w:pStyle w:val="23"/>
              <w:spacing w:line="292" w:lineRule="auto"/>
              <w:ind w:left="105" w:right="99" w:firstLine="100"/>
              <w:rPr>
                <w:sz w:val="20"/>
              </w:rPr>
            </w:pPr>
            <w:r>
              <w:rPr>
                <w:sz w:val="20"/>
              </w:rPr>
              <w:t>政府采购执行率</w:t>
            </w:r>
          </w:p>
        </w:tc>
        <w:tc>
          <w:tcPr>
            <w:tcW w:w="523" w:type="dxa"/>
          </w:tcPr>
          <w:p>
            <w:pPr>
              <w:pStyle w:val="23"/>
              <w:rPr>
                <w:rFonts w:ascii="Times New Roman"/>
                <w:sz w:val="22"/>
              </w:rPr>
            </w:pPr>
          </w:p>
          <w:p>
            <w:pPr>
              <w:pStyle w:val="23"/>
              <w:spacing w:before="7"/>
              <w:rPr>
                <w:rFonts w:ascii="Times New Roman"/>
                <w:sz w:val="25"/>
              </w:rPr>
            </w:pPr>
          </w:p>
          <w:p>
            <w:pPr>
              <w:pStyle w:val="23"/>
              <w:ind w:left="7"/>
              <w:jc w:val="center"/>
              <w:rPr>
                <w:rFonts w:ascii="Times New Roman"/>
                <w:sz w:val="20"/>
              </w:rPr>
            </w:pPr>
            <w:r>
              <w:rPr>
                <w:rFonts w:ascii="Times New Roman"/>
                <w:w w:val="99"/>
                <w:sz w:val="20"/>
              </w:rPr>
              <w:t>5</w:t>
            </w:r>
          </w:p>
        </w:tc>
        <w:tc>
          <w:tcPr>
            <w:tcW w:w="2853" w:type="dxa"/>
          </w:tcPr>
          <w:p>
            <w:pPr>
              <w:pStyle w:val="23"/>
              <w:spacing w:before="10"/>
              <w:rPr>
                <w:rFonts w:ascii="Times New Roman"/>
                <w:sz w:val="32"/>
              </w:rPr>
            </w:pPr>
          </w:p>
          <w:p>
            <w:pPr>
              <w:pStyle w:val="23"/>
              <w:ind w:left="105"/>
              <w:rPr>
                <w:sz w:val="20"/>
              </w:rPr>
            </w:pPr>
            <w:r>
              <w:rPr>
                <w:rFonts w:ascii="Times New Roman" w:eastAsia="Times New Roman"/>
                <w:sz w:val="20"/>
              </w:rPr>
              <w:t>100%</w:t>
            </w:r>
            <w:r>
              <w:rPr>
                <w:sz w:val="20"/>
              </w:rPr>
              <w:t>计满分，每超过（降低）</w:t>
            </w:r>
          </w:p>
          <w:p>
            <w:pPr>
              <w:pStyle w:val="23"/>
              <w:spacing w:before="56"/>
              <w:ind w:left="105"/>
              <w:rPr>
                <w:sz w:val="20"/>
              </w:rPr>
            </w:pPr>
            <w:r>
              <w:rPr>
                <w:rFonts w:ascii="Times New Roman" w:eastAsia="Times New Roman"/>
                <w:sz w:val="20"/>
              </w:rPr>
              <w:t>5%</w:t>
            </w:r>
            <w:r>
              <w:rPr>
                <w:sz w:val="20"/>
              </w:rPr>
              <w:t>扣</w:t>
            </w:r>
            <w:r>
              <w:rPr>
                <w:rFonts w:ascii="Times New Roman" w:eastAsia="Times New Roman"/>
                <w:sz w:val="20"/>
              </w:rPr>
              <w:t>2</w:t>
            </w:r>
            <w:r>
              <w:rPr>
                <w:sz w:val="20"/>
              </w:rPr>
              <w:t>分。扣完为止。</w:t>
            </w:r>
          </w:p>
        </w:tc>
        <w:tc>
          <w:tcPr>
            <w:tcW w:w="2999" w:type="dxa"/>
          </w:tcPr>
          <w:p>
            <w:pPr>
              <w:pStyle w:val="23"/>
              <w:spacing w:before="10"/>
              <w:rPr>
                <w:rFonts w:ascii="Times New Roman"/>
                <w:sz w:val="32"/>
              </w:rPr>
            </w:pPr>
          </w:p>
          <w:p>
            <w:pPr>
              <w:pStyle w:val="23"/>
              <w:spacing w:line="292" w:lineRule="auto"/>
              <w:ind w:left="105" w:right="33"/>
              <w:rPr>
                <w:rFonts w:ascii="Times New Roman" w:hAnsi="Times New Roman" w:eastAsia="Times New Roman"/>
                <w:sz w:val="20"/>
              </w:rPr>
            </w:pPr>
            <w:r>
              <w:rPr>
                <w:sz w:val="20"/>
              </w:rPr>
              <w:t>政府采购执行率</w:t>
            </w:r>
            <w:r>
              <w:rPr>
                <w:rFonts w:ascii="Times New Roman" w:hAnsi="Times New Roman" w:eastAsia="Times New Roman"/>
                <w:sz w:val="20"/>
              </w:rPr>
              <w:t>=</w:t>
            </w:r>
            <w:r>
              <w:rPr>
                <w:sz w:val="20"/>
              </w:rPr>
              <w:t>（实际政府采购金额</w:t>
            </w:r>
            <w:r>
              <w:rPr>
                <w:rFonts w:ascii="Times New Roman" w:hAnsi="Times New Roman" w:eastAsia="Times New Roman"/>
                <w:sz w:val="20"/>
              </w:rPr>
              <w:t>/</w:t>
            </w:r>
            <w:r>
              <w:rPr>
                <w:sz w:val="20"/>
              </w:rPr>
              <w:t>政府采购预算数）</w:t>
            </w:r>
            <w:r>
              <w:rPr>
                <w:rFonts w:ascii="Times New Roman" w:hAnsi="Times New Roman" w:eastAsia="Times New Roman"/>
                <w:sz w:val="20"/>
              </w:rPr>
              <w:t>×100%</w:t>
            </w:r>
          </w:p>
        </w:tc>
        <w:tc>
          <w:tcPr>
            <w:tcW w:w="532" w:type="dxa"/>
            <w:vAlign w:val="center"/>
          </w:tcPr>
          <w:p>
            <w:pPr>
              <w:pStyle w:val="23"/>
              <w:jc w:val="center"/>
              <w:rPr>
                <w:rFonts w:ascii="Times New Roman"/>
                <w:sz w:val="18"/>
                <w:lang w:val="en-US"/>
              </w:rPr>
            </w:pPr>
            <w:r>
              <w:rPr>
                <w:rFonts w:hint="eastAsia" w:ascii="Times New Roman"/>
                <w:sz w:val="18"/>
                <w:lang w:val="en-US"/>
              </w:rPr>
              <w:t>0</w:t>
            </w:r>
          </w:p>
        </w:tc>
      </w:tr>
    </w:tbl>
    <w:p>
      <w:pPr>
        <w:rPr>
          <w:rFonts w:ascii="Times New Roman"/>
          <w:sz w:val="18"/>
        </w:rPr>
        <w:sectPr>
          <w:pgSz w:w="11910" w:h="16840"/>
          <w:pgMar w:top="1580" w:right="840" w:bottom="1520" w:left="960" w:header="0" w:footer="1322" w:gutter="0"/>
          <w:cols w:space="720" w:num="1"/>
        </w:sectPr>
      </w:pPr>
    </w:p>
    <w:p>
      <w:pPr>
        <w:pStyle w:val="6"/>
        <w:rPr>
          <w:rFonts w:ascii="Times New Roman"/>
          <w:sz w:val="9"/>
        </w:rPr>
      </w:pPr>
    </w:p>
    <w:tbl>
      <w:tblPr>
        <w:tblStyle w:val="14"/>
        <w:tblW w:w="0" w:type="auto"/>
        <w:tblInd w:w="12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16"/>
        <w:gridCol w:w="418"/>
        <w:gridCol w:w="677"/>
        <w:gridCol w:w="415"/>
        <w:gridCol w:w="816"/>
        <w:gridCol w:w="523"/>
        <w:gridCol w:w="2853"/>
        <w:gridCol w:w="2999"/>
        <w:gridCol w:w="53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516" w:type="dxa"/>
          </w:tcPr>
          <w:p>
            <w:pPr>
              <w:pStyle w:val="23"/>
              <w:spacing w:before="25" w:line="292" w:lineRule="auto"/>
              <w:ind w:left="155" w:right="149"/>
              <w:rPr>
                <w:rFonts w:ascii="黑体" w:eastAsia="黑体"/>
                <w:sz w:val="20"/>
              </w:rPr>
            </w:pPr>
            <w:r>
              <w:rPr>
                <w:rFonts w:hint="eastAsia" w:ascii="黑体" w:eastAsia="黑体"/>
                <w:sz w:val="20"/>
              </w:rPr>
              <w:t>一级指</w:t>
            </w:r>
          </w:p>
          <w:p>
            <w:pPr>
              <w:pStyle w:val="23"/>
              <w:spacing w:line="254" w:lineRule="exact"/>
              <w:ind w:left="155"/>
              <w:rPr>
                <w:rFonts w:ascii="黑体" w:eastAsia="黑体"/>
                <w:sz w:val="20"/>
              </w:rPr>
            </w:pPr>
            <w:r>
              <w:rPr>
                <w:rFonts w:hint="eastAsia" w:ascii="黑体" w:eastAsia="黑体"/>
                <w:w w:val="99"/>
                <w:sz w:val="20"/>
              </w:rPr>
              <w:t>标</w:t>
            </w:r>
          </w:p>
        </w:tc>
        <w:tc>
          <w:tcPr>
            <w:tcW w:w="418" w:type="dxa"/>
          </w:tcPr>
          <w:p>
            <w:pPr>
              <w:pStyle w:val="23"/>
              <w:spacing w:before="3"/>
              <w:rPr>
                <w:rFonts w:ascii="Times New Roman"/>
                <w:sz w:val="29"/>
              </w:rPr>
            </w:pPr>
          </w:p>
          <w:p>
            <w:pPr>
              <w:pStyle w:val="23"/>
              <w:spacing w:before="1" w:line="292" w:lineRule="auto"/>
              <w:ind w:left="107" w:right="99"/>
              <w:rPr>
                <w:rFonts w:ascii="黑体" w:eastAsia="黑体"/>
                <w:sz w:val="20"/>
              </w:rPr>
            </w:pPr>
            <w:r>
              <w:rPr>
                <w:rFonts w:hint="eastAsia" w:ascii="黑体" w:eastAsia="黑体"/>
                <w:sz w:val="20"/>
              </w:rPr>
              <w:t>分值</w:t>
            </w:r>
          </w:p>
        </w:tc>
        <w:tc>
          <w:tcPr>
            <w:tcW w:w="677" w:type="dxa"/>
          </w:tcPr>
          <w:p>
            <w:pPr>
              <w:pStyle w:val="23"/>
              <w:spacing w:before="3"/>
              <w:rPr>
                <w:rFonts w:ascii="Times New Roman"/>
                <w:sz w:val="29"/>
              </w:rPr>
            </w:pPr>
          </w:p>
          <w:p>
            <w:pPr>
              <w:pStyle w:val="23"/>
              <w:spacing w:before="1" w:line="292" w:lineRule="auto"/>
              <w:ind w:left="136" w:right="130"/>
              <w:rPr>
                <w:rFonts w:ascii="黑体" w:eastAsia="黑体"/>
                <w:sz w:val="20"/>
              </w:rPr>
            </w:pPr>
            <w:r>
              <w:rPr>
                <w:rFonts w:hint="eastAsia" w:ascii="黑体" w:eastAsia="黑体"/>
                <w:sz w:val="20"/>
              </w:rPr>
              <w:t>二级指标</w:t>
            </w:r>
          </w:p>
        </w:tc>
        <w:tc>
          <w:tcPr>
            <w:tcW w:w="415" w:type="dxa"/>
          </w:tcPr>
          <w:p>
            <w:pPr>
              <w:pStyle w:val="23"/>
              <w:spacing w:before="3"/>
              <w:rPr>
                <w:rFonts w:ascii="Times New Roman"/>
                <w:sz w:val="29"/>
              </w:rPr>
            </w:pPr>
          </w:p>
          <w:p>
            <w:pPr>
              <w:pStyle w:val="23"/>
              <w:spacing w:before="1" w:line="292" w:lineRule="auto"/>
              <w:ind w:left="104" w:right="99"/>
              <w:rPr>
                <w:rFonts w:ascii="黑体" w:eastAsia="黑体"/>
                <w:sz w:val="20"/>
              </w:rPr>
            </w:pPr>
            <w:r>
              <w:rPr>
                <w:rFonts w:hint="eastAsia" w:ascii="黑体" w:eastAsia="黑体"/>
                <w:sz w:val="20"/>
              </w:rPr>
              <w:t>分值</w:t>
            </w:r>
          </w:p>
        </w:tc>
        <w:tc>
          <w:tcPr>
            <w:tcW w:w="816" w:type="dxa"/>
          </w:tcPr>
          <w:p>
            <w:pPr>
              <w:pStyle w:val="23"/>
              <w:spacing w:before="3"/>
              <w:rPr>
                <w:rFonts w:ascii="Times New Roman"/>
                <w:sz w:val="29"/>
              </w:rPr>
            </w:pPr>
          </w:p>
          <w:p>
            <w:pPr>
              <w:pStyle w:val="23"/>
              <w:spacing w:before="1" w:line="292" w:lineRule="auto"/>
              <w:ind w:left="205" w:right="201"/>
              <w:rPr>
                <w:rFonts w:ascii="黑体" w:eastAsia="黑体"/>
                <w:sz w:val="20"/>
              </w:rPr>
            </w:pPr>
            <w:r>
              <w:rPr>
                <w:rFonts w:hint="eastAsia" w:ascii="黑体" w:eastAsia="黑体"/>
                <w:sz w:val="20"/>
              </w:rPr>
              <w:t>三级指标</w:t>
            </w:r>
          </w:p>
        </w:tc>
        <w:tc>
          <w:tcPr>
            <w:tcW w:w="523" w:type="dxa"/>
          </w:tcPr>
          <w:p>
            <w:pPr>
              <w:pStyle w:val="23"/>
              <w:spacing w:before="3"/>
              <w:rPr>
                <w:rFonts w:ascii="Times New Roman"/>
                <w:sz w:val="29"/>
              </w:rPr>
            </w:pPr>
          </w:p>
          <w:p>
            <w:pPr>
              <w:pStyle w:val="23"/>
              <w:spacing w:before="1" w:line="292" w:lineRule="auto"/>
              <w:ind w:left="160" w:right="151"/>
              <w:rPr>
                <w:rFonts w:ascii="黑体" w:eastAsia="黑体"/>
                <w:sz w:val="20"/>
              </w:rPr>
            </w:pPr>
            <w:r>
              <w:rPr>
                <w:rFonts w:hint="eastAsia" w:ascii="黑体" w:eastAsia="黑体"/>
                <w:sz w:val="20"/>
              </w:rPr>
              <w:t>分值</w:t>
            </w:r>
          </w:p>
        </w:tc>
        <w:tc>
          <w:tcPr>
            <w:tcW w:w="2853" w:type="dxa"/>
          </w:tcPr>
          <w:p>
            <w:pPr>
              <w:pStyle w:val="23"/>
              <w:rPr>
                <w:rFonts w:ascii="Times New Roman"/>
                <w:sz w:val="20"/>
              </w:rPr>
            </w:pPr>
          </w:p>
          <w:p>
            <w:pPr>
              <w:pStyle w:val="23"/>
              <w:spacing w:before="10"/>
              <w:rPr>
                <w:rFonts w:ascii="Times New Roman"/>
                <w:sz w:val="22"/>
              </w:rPr>
            </w:pPr>
          </w:p>
          <w:p>
            <w:pPr>
              <w:pStyle w:val="23"/>
              <w:ind w:left="1003" w:right="999"/>
              <w:jc w:val="center"/>
              <w:rPr>
                <w:rFonts w:ascii="黑体" w:eastAsia="黑体"/>
                <w:sz w:val="20"/>
              </w:rPr>
            </w:pPr>
            <w:r>
              <w:rPr>
                <w:rFonts w:hint="eastAsia" w:ascii="黑体" w:eastAsia="黑体"/>
                <w:sz w:val="20"/>
              </w:rPr>
              <w:t>评价标准</w:t>
            </w:r>
          </w:p>
        </w:tc>
        <w:tc>
          <w:tcPr>
            <w:tcW w:w="2999" w:type="dxa"/>
          </w:tcPr>
          <w:p>
            <w:pPr>
              <w:pStyle w:val="23"/>
              <w:rPr>
                <w:rFonts w:ascii="Times New Roman"/>
                <w:sz w:val="20"/>
              </w:rPr>
            </w:pPr>
          </w:p>
          <w:p>
            <w:pPr>
              <w:pStyle w:val="23"/>
              <w:spacing w:before="10"/>
              <w:rPr>
                <w:rFonts w:ascii="Times New Roman"/>
                <w:sz w:val="22"/>
              </w:rPr>
            </w:pPr>
          </w:p>
          <w:p>
            <w:pPr>
              <w:pStyle w:val="23"/>
              <w:ind w:left="1076" w:right="1072"/>
              <w:jc w:val="center"/>
              <w:rPr>
                <w:rFonts w:ascii="黑体" w:eastAsia="黑体"/>
                <w:sz w:val="20"/>
              </w:rPr>
            </w:pPr>
            <w:r>
              <w:rPr>
                <w:rFonts w:hint="eastAsia" w:ascii="黑体" w:eastAsia="黑体"/>
                <w:sz w:val="20"/>
              </w:rPr>
              <w:t>指标说明</w:t>
            </w:r>
          </w:p>
        </w:tc>
        <w:tc>
          <w:tcPr>
            <w:tcW w:w="532" w:type="dxa"/>
          </w:tcPr>
          <w:p>
            <w:pPr>
              <w:pStyle w:val="23"/>
              <w:spacing w:before="3"/>
              <w:rPr>
                <w:rFonts w:ascii="Times New Roman"/>
                <w:sz w:val="29"/>
              </w:rPr>
            </w:pPr>
          </w:p>
          <w:p>
            <w:pPr>
              <w:pStyle w:val="23"/>
              <w:spacing w:before="1" w:line="292" w:lineRule="auto"/>
              <w:ind w:left="166" w:right="154"/>
              <w:rPr>
                <w:rFonts w:ascii="黑体" w:eastAsia="黑体"/>
                <w:sz w:val="20"/>
              </w:rPr>
            </w:pPr>
            <w:r>
              <w:rPr>
                <w:rFonts w:hint="eastAsia" w:ascii="黑体" w:eastAsia="黑体"/>
                <w:sz w:val="20"/>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82" w:hRule="atLeast"/>
        </w:trPr>
        <w:tc>
          <w:tcPr>
            <w:tcW w:w="516" w:type="dxa"/>
            <w:vMerge w:val="restart"/>
          </w:tcPr>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spacing w:before="4"/>
              <w:rPr>
                <w:rFonts w:ascii="Times New Roman"/>
                <w:sz w:val="19"/>
              </w:rPr>
            </w:pPr>
          </w:p>
          <w:p>
            <w:pPr>
              <w:pStyle w:val="23"/>
              <w:spacing w:line="292" w:lineRule="auto"/>
              <w:ind w:left="155" w:right="149"/>
              <w:rPr>
                <w:sz w:val="20"/>
              </w:rPr>
            </w:pPr>
            <w:r>
              <w:rPr>
                <w:sz w:val="20"/>
              </w:rPr>
              <w:t>过程</w:t>
            </w:r>
          </w:p>
        </w:tc>
        <w:tc>
          <w:tcPr>
            <w:tcW w:w="418" w:type="dxa"/>
            <w:vMerge w:val="restart"/>
          </w:tcPr>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30"/>
              </w:rPr>
            </w:pPr>
          </w:p>
          <w:p>
            <w:pPr>
              <w:pStyle w:val="23"/>
              <w:spacing w:before="1"/>
              <w:ind w:left="107"/>
              <w:rPr>
                <w:rFonts w:ascii="Times New Roman"/>
                <w:sz w:val="20"/>
              </w:rPr>
            </w:pPr>
            <w:r>
              <w:rPr>
                <w:rFonts w:ascii="Times New Roman"/>
                <w:sz w:val="20"/>
              </w:rPr>
              <w:t>56</w:t>
            </w:r>
          </w:p>
        </w:tc>
        <w:tc>
          <w:tcPr>
            <w:tcW w:w="677" w:type="dxa"/>
            <w:vMerge w:val="restart"/>
          </w:tcPr>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spacing w:before="4"/>
              <w:rPr>
                <w:rFonts w:ascii="Times New Roman"/>
                <w:sz w:val="19"/>
              </w:rPr>
            </w:pPr>
          </w:p>
          <w:p>
            <w:pPr>
              <w:pStyle w:val="23"/>
              <w:spacing w:line="292" w:lineRule="auto"/>
              <w:ind w:left="105" w:right="161"/>
              <w:rPr>
                <w:sz w:val="20"/>
              </w:rPr>
            </w:pPr>
            <w:r>
              <w:rPr>
                <w:sz w:val="20"/>
              </w:rPr>
              <w:t>预算管理</w:t>
            </w:r>
          </w:p>
        </w:tc>
        <w:tc>
          <w:tcPr>
            <w:tcW w:w="415" w:type="dxa"/>
            <w:vMerge w:val="restart"/>
          </w:tcPr>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30"/>
              </w:rPr>
            </w:pPr>
          </w:p>
          <w:p>
            <w:pPr>
              <w:pStyle w:val="23"/>
              <w:spacing w:before="1"/>
              <w:ind w:left="104"/>
              <w:rPr>
                <w:rFonts w:ascii="Times New Roman"/>
                <w:sz w:val="20"/>
              </w:rPr>
            </w:pPr>
            <w:r>
              <w:rPr>
                <w:rFonts w:ascii="Times New Roman"/>
                <w:sz w:val="20"/>
              </w:rPr>
              <w:t>16</w:t>
            </w:r>
          </w:p>
        </w:tc>
        <w:tc>
          <w:tcPr>
            <w:tcW w:w="816" w:type="dxa"/>
          </w:tcPr>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spacing w:before="150" w:line="292" w:lineRule="auto"/>
              <w:ind w:left="105" w:right="99" w:firstLine="100"/>
              <w:rPr>
                <w:sz w:val="20"/>
              </w:rPr>
            </w:pPr>
            <w:r>
              <w:rPr>
                <w:sz w:val="20"/>
              </w:rPr>
              <w:t>管理制度健全性</w:t>
            </w:r>
          </w:p>
        </w:tc>
        <w:tc>
          <w:tcPr>
            <w:tcW w:w="523" w:type="dxa"/>
          </w:tcPr>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spacing w:before="3"/>
              <w:rPr>
                <w:rFonts w:ascii="Times New Roman"/>
                <w:sz w:val="31"/>
              </w:rPr>
            </w:pPr>
          </w:p>
          <w:p>
            <w:pPr>
              <w:pStyle w:val="23"/>
              <w:ind w:left="7"/>
              <w:jc w:val="center"/>
              <w:rPr>
                <w:rFonts w:ascii="Times New Roman"/>
                <w:sz w:val="20"/>
              </w:rPr>
            </w:pPr>
            <w:r>
              <w:rPr>
                <w:rFonts w:ascii="Times New Roman"/>
                <w:w w:val="99"/>
                <w:sz w:val="20"/>
              </w:rPr>
              <w:t>4</w:t>
            </w:r>
          </w:p>
        </w:tc>
        <w:tc>
          <w:tcPr>
            <w:tcW w:w="2853" w:type="dxa"/>
          </w:tcPr>
          <w:p>
            <w:pPr>
              <w:pStyle w:val="23"/>
              <w:spacing w:before="52" w:line="292" w:lineRule="auto"/>
              <w:ind w:left="105" w:right="97"/>
              <w:rPr>
                <w:sz w:val="20"/>
              </w:rPr>
            </w:pPr>
            <w:r>
              <w:rPr>
                <w:sz w:val="20"/>
              </w:rPr>
              <w:t>①财务管理内控制度、会计核算制度等管理制度、有关反馈问题整改落实情况，</w:t>
            </w:r>
            <w:r>
              <w:rPr>
                <w:rFonts w:ascii="Times New Roman" w:hAnsi="Times New Roman" w:eastAsia="Times New Roman"/>
                <w:sz w:val="20"/>
              </w:rPr>
              <w:t>1</w:t>
            </w:r>
            <w:r>
              <w:rPr>
                <w:sz w:val="20"/>
              </w:rPr>
              <w:t>分；</w:t>
            </w:r>
          </w:p>
          <w:p>
            <w:pPr>
              <w:pStyle w:val="23"/>
              <w:spacing w:line="292" w:lineRule="auto"/>
              <w:ind w:left="105" w:right="99"/>
              <w:rPr>
                <w:sz w:val="20"/>
              </w:rPr>
            </w:pPr>
            <w:r>
              <w:rPr>
                <w:w w:val="95"/>
                <w:sz w:val="20"/>
              </w:rPr>
              <w:t>②有本部门厉行节约制度，</w:t>
            </w:r>
            <w:r>
              <w:rPr>
                <w:rFonts w:ascii="Times New Roman" w:hAnsi="Times New Roman" w:eastAsia="Times New Roman"/>
                <w:w w:val="95"/>
                <w:sz w:val="20"/>
              </w:rPr>
              <w:t>1</w:t>
            </w:r>
            <w:r>
              <w:rPr>
                <w:sz w:val="20"/>
              </w:rPr>
              <w:t>分；</w:t>
            </w:r>
          </w:p>
          <w:p>
            <w:pPr>
              <w:pStyle w:val="23"/>
              <w:spacing w:line="292" w:lineRule="auto"/>
              <w:ind w:left="105" w:right="97"/>
              <w:rPr>
                <w:sz w:val="20"/>
              </w:rPr>
            </w:pPr>
            <w:r>
              <w:rPr>
                <w:sz w:val="20"/>
              </w:rPr>
              <w:t>③相关管理制度合法、合规、完整，</w:t>
            </w:r>
            <w:r>
              <w:rPr>
                <w:rFonts w:ascii="Times New Roman" w:hAnsi="Times New Roman" w:eastAsia="Times New Roman"/>
                <w:sz w:val="20"/>
              </w:rPr>
              <w:t>1</w:t>
            </w:r>
            <w:r>
              <w:rPr>
                <w:sz w:val="20"/>
              </w:rPr>
              <w:t>分；</w:t>
            </w:r>
          </w:p>
          <w:p>
            <w:pPr>
              <w:pStyle w:val="23"/>
              <w:spacing w:line="292" w:lineRule="auto"/>
              <w:ind w:left="105" w:right="100"/>
              <w:rPr>
                <w:sz w:val="20"/>
              </w:rPr>
            </w:pPr>
            <w:r>
              <w:rPr>
                <w:w w:val="95"/>
                <w:sz w:val="20"/>
              </w:rPr>
              <w:t>④相关管理制度得到有效执</w:t>
            </w:r>
            <w:r>
              <w:rPr>
                <w:sz w:val="20"/>
              </w:rPr>
              <w:t>行，</w:t>
            </w:r>
            <w:r>
              <w:rPr>
                <w:rFonts w:ascii="Times New Roman" w:hAnsi="Times New Roman" w:eastAsia="Times New Roman"/>
                <w:sz w:val="20"/>
              </w:rPr>
              <w:t>1</w:t>
            </w:r>
            <w:r>
              <w:rPr>
                <w:sz w:val="20"/>
              </w:rPr>
              <w:t>分。</w:t>
            </w:r>
          </w:p>
          <w:p>
            <w:pPr>
              <w:pStyle w:val="23"/>
              <w:spacing w:line="255" w:lineRule="exact"/>
              <w:ind w:left="105"/>
              <w:rPr>
                <w:rFonts w:ascii="Times New Roman" w:eastAsia="Times New Roman"/>
                <w:sz w:val="20"/>
              </w:rPr>
            </w:pPr>
            <w:r>
              <w:rPr>
                <w:sz w:val="20"/>
              </w:rPr>
              <w:t>以上各项制度缺少一项扣</w:t>
            </w:r>
            <w:r>
              <w:rPr>
                <w:rFonts w:ascii="Times New Roman" w:eastAsia="Times New Roman"/>
                <w:sz w:val="20"/>
              </w:rPr>
              <w:t>1</w:t>
            </w:r>
          </w:p>
          <w:p>
            <w:pPr>
              <w:pStyle w:val="23"/>
              <w:spacing w:before="51"/>
              <w:ind w:left="105"/>
              <w:rPr>
                <w:sz w:val="20"/>
              </w:rPr>
            </w:pPr>
            <w:r>
              <w:rPr>
                <w:sz w:val="20"/>
              </w:rPr>
              <w:t>分，扣完为止。</w:t>
            </w:r>
          </w:p>
        </w:tc>
        <w:tc>
          <w:tcPr>
            <w:tcW w:w="2999" w:type="dxa"/>
          </w:tcPr>
          <w:p>
            <w:pPr>
              <w:pStyle w:val="23"/>
              <w:rPr>
                <w:rFonts w:ascii="Times New Roman"/>
                <w:sz w:val="18"/>
              </w:rPr>
            </w:pPr>
          </w:p>
        </w:tc>
        <w:tc>
          <w:tcPr>
            <w:tcW w:w="532" w:type="dxa"/>
            <w:vAlign w:val="center"/>
          </w:tcPr>
          <w:p>
            <w:pPr>
              <w:pStyle w:val="23"/>
              <w:jc w:val="center"/>
              <w:rPr>
                <w:rFonts w:ascii="Times New Roman"/>
                <w:sz w:val="18"/>
                <w:lang w:val="en-US"/>
              </w:rPr>
            </w:pPr>
            <w:r>
              <w:rPr>
                <w:rFonts w:hint="eastAsia" w:ascii="Times New Roman"/>
                <w:sz w:val="18"/>
                <w:lang w:val="en-US"/>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35" w:hRule="atLeast"/>
        </w:trPr>
        <w:tc>
          <w:tcPr>
            <w:tcW w:w="516" w:type="dxa"/>
            <w:vMerge w:val="continue"/>
            <w:tcBorders>
              <w:top w:val="nil"/>
            </w:tcBorders>
          </w:tcPr>
          <w:p>
            <w:pPr>
              <w:rPr>
                <w:sz w:val="2"/>
                <w:szCs w:val="2"/>
              </w:rPr>
            </w:pPr>
          </w:p>
        </w:tc>
        <w:tc>
          <w:tcPr>
            <w:tcW w:w="418" w:type="dxa"/>
            <w:vMerge w:val="continue"/>
            <w:tcBorders>
              <w:top w:val="nil"/>
            </w:tcBorders>
          </w:tcPr>
          <w:p>
            <w:pPr>
              <w:rPr>
                <w:sz w:val="2"/>
                <w:szCs w:val="2"/>
              </w:rPr>
            </w:pPr>
          </w:p>
        </w:tc>
        <w:tc>
          <w:tcPr>
            <w:tcW w:w="677" w:type="dxa"/>
            <w:vMerge w:val="continue"/>
            <w:tcBorders>
              <w:top w:val="nil"/>
            </w:tcBorders>
          </w:tcPr>
          <w:p>
            <w:pPr>
              <w:rPr>
                <w:sz w:val="2"/>
                <w:szCs w:val="2"/>
              </w:rPr>
            </w:pPr>
          </w:p>
        </w:tc>
        <w:tc>
          <w:tcPr>
            <w:tcW w:w="415" w:type="dxa"/>
            <w:vMerge w:val="continue"/>
            <w:tcBorders>
              <w:top w:val="nil"/>
            </w:tcBorders>
          </w:tcPr>
          <w:p>
            <w:pPr>
              <w:rPr>
                <w:sz w:val="2"/>
                <w:szCs w:val="2"/>
              </w:rPr>
            </w:pPr>
          </w:p>
        </w:tc>
        <w:tc>
          <w:tcPr>
            <w:tcW w:w="816" w:type="dxa"/>
          </w:tcPr>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spacing w:before="8"/>
              <w:rPr>
                <w:rFonts w:ascii="Times New Roman"/>
                <w:sz w:val="17"/>
              </w:rPr>
            </w:pPr>
          </w:p>
          <w:p>
            <w:pPr>
              <w:pStyle w:val="23"/>
              <w:spacing w:before="1" w:line="292" w:lineRule="auto"/>
              <w:ind w:left="105" w:right="99" w:firstLine="100"/>
              <w:rPr>
                <w:sz w:val="20"/>
              </w:rPr>
            </w:pPr>
            <w:r>
              <w:rPr>
                <w:sz w:val="20"/>
              </w:rPr>
              <w:t>资金使用合规性</w:t>
            </w:r>
          </w:p>
        </w:tc>
        <w:tc>
          <w:tcPr>
            <w:tcW w:w="523" w:type="dxa"/>
          </w:tcPr>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8"/>
              </w:rPr>
            </w:pPr>
          </w:p>
          <w:p>
            <w:pPr>
              <w:pStyle w:val="23"/>
              <w:ind w:left="7"/>
              <w:jc w:val="center"/>
              <w:rPr>
                <w:rFonts w:ascii="Times New Roman"/>
                <w:sz w:val="20"/>
              </w:rPr>
            </w:pPr>
            <w:r>
              <w:rPr>
                <w:rFonts w:ascii="Times New Roman"/>
                <w:w w:val="99"/>
                <w:sz w:val="20"/>
              </w:rPr>
              <w:t>8</w:t>
            </w:r>
          </w:p>
        </w:tc>
        <w:tc>
          <w:tcPr>
            <w:tcW w:w="2853" w:type="dxa"/>
          </w:tcPr>
          <w:p>
            <w:pPr>
              <w:pStyle w:val="23"/>
              <w:spacing w:before="90" w:line="292" w:lineRule="auto"/>
              <w:ind w:left="105" w:right="97"/>
              <w:rPr>
                <w:sz w:val="20"/>
              </w:rPr>
            </w:pPr>
            <w:r>
              <w:rPr>
                <w:sz w:val="20"/>
              </w:rPr>
              <w:t>①支出符合国家财经法规和财务管理制度规定以及有关专项资金管理办法的规定，</w:t>
            </w:r>
            <w:r>
              <w:rPr>
                <w:rFonts w:ascii="Times New Roman" w:hAnsi="Times New Roman" w:eastAsia="Times New Roman"/>
                <w:sz w:val="20"/>
              </w:rPr>
              <w:t>2</w:t>
            </w:r>
            <w:r>
              <w:rPr>
                <w:sz w:val="20"/>
              </w:rPr>
              <w:t>分；</w:t>
            </w:r>
          </w:p>
          <w:p>
            <w:pPr>
              <w:pStyle w:val="23"/>
              <w:spacing w:line="292" w:lineRule="auto"/>
              <w:ind w:left="105" w:right="97"/>
              <w:rPr>
                <w:sz w:val="20"/>
              </w:rPr>
            </w:pPr>
            <w:r>
              <w:rPr>
                <w:sz w:val="20"/>
              </w:rPr>
              <w:t>②资金拨付有完整的审批程序和手续，</w:t>
            </w:r>
            <w:r>
              <w:rPr>
                <w:rFonts w:ascii="Times New Roman" w:hAnsi="Times New Roman" w:eastAsia="Times New Roman"/>
                <w:sz w:val="20"/>
              </w:rPr>
              <w:t>1</w:t>
            </w:r>
            <w:r>
              <w:rPr>
                <w:sz w:val="20"/>
              </w:rPr>
              <w:t>分；</w:t>
            </w:r>
          </w:p>
          <w:p>
            <w:pPr>
              <w:pStyle w:val="23"/>
              <w:spacing w:line="292" w:lineRule="auto"/>
              <w:ind w:left="105" w:right="100"/>
              <w:rPr>
                <w:sz w:val="20"/>
              </w:rPr>
            </w:pPr>
            <w:r>
              <w:rPr>
                <w:sz w:val="20"/>
              </w:rPr>
              <w:t>③项目支出是否专款专用，无随意调整现象，</w:t>
            </w:r>
            <w:r>
              <w:rPr>
                <w:rFonts w:ascii="Times New Roman" w:hAnsi="Times New Roman" w:eastAsia="Times New Roman"/>
                <w:sz w:val="20"/>
              </w:rPr>
              <w:t>1</w:t>
            </w:r>
            <w:r>
              <w:rPr>
                <w:sz w:val="20"/>
              </w:rPr>
              <w:t>分；</w:t>
            </w:r>
          </w:p>
          <w:p>
            <w:pPr>
              <w:pStyle w:val="23"/>
              <w:spacing w:line="292" w:lineRule="auto"/>
              <w:ind w:left="105" w:right="98"/>
              <w:rPr>
                <w:sz w:val="20"/>
              </w:rPr>
            </w:pPr>
            <w:r>
              <w:rPr>
                <w:sz w:val="20"/>
              </w:rPr>
              <w:t>④支出符合部门预算批复或合同规定使用的用途，</w:t>
            </w:r>
            <w:r>
              <w:rPr>
                <w:rFonts w:ascii="Times New Roman" w:hAnsi="Times New Roman" w:eastAsia="Times New Roman"/>
                <w:sz w:val="20"/>
              </w:rPr>
              <w:t>1</w:t>
            </w:r>
            <w:r>
              <w:rPr>
                <w:sz w:val="20"/>
              </w:rPr>
              <w:t>分；</w:t>
            </w:r>
          </w:p>
          <w:p>
            <w:pPr>
              <w:pStyle w:val="23"/>
              <w:spacing w:line="292" w:lineRule="auto"/>
              <w:ind w:left="105" w:right="97"/>
              <w:rPr>
                <w:sz w:val="20"/>
              </w:rPr>
            </w:pPr>
            <w:r>
              <w:rPr>
                <w:sz w:val="20"/>
              </w:rPr>
              <w:t>⑤资金使用无截留、挤占、挪用、虚列支出等情况，</w:t>
            </w:r>
            <w:r>
              <w:rPr>
                <w:rFonts w:ascii="Times New Roman" w:hAnsi="Times New Roman" w:eastAsia="Times New Roman"/>
                <w:sz w:val="20"/>
              </w:rPr>
              <w:t>1</w:t>
            </w:r>
            <w:r>
              <w:rPr>
                <w:sz w:val="20"/>
              </w:rPr>
              <w:t>分。</w:t>
            </w:r>
          </w:p>
          <w:p>
            <w:pPr>
              <w:pStyle w:val="23"/>
              <w:spacing w:line="292" w:lineRule="auto"/>
              <w:ind w:left="105" w:right="97"/>
              <w:rPr>
                <w:sz w:val="20"/>
              </w:rPr>
            </w:pPr>
            <w:r>
              <w:rPr>
                <w:sz w:val="20"/>
              </w:rPr>
              <w:t>⑥大额资金使用经单位党组集体讨论决策，</w:t>
            </w:r>
            <w:r>
              <w:rPr>
                <w:rFonts w:ascii="Times New Roman" w:hAnsi="Times New Roman" w:eastAsia="Times New Roman"/>
                <w:sz w:val="20"/>
              </w:rPr>
              <w:t>1</w:t>
            </w:r>
            <w:r>
              <w:rPr>
                <w:sz w:val="20"/>
              </w:rPr>
              <w:t>分；</w:t>
            </w:r>
          </w:p>
          <w:p>
            <w:pPr>
              <w:pStyle w:val="23"/>
              <w:spacing w:line="292" w:lineRule="auto"/>
              <w:ind w:left="105" w:right="97"/>
              <w:rPr>
                <w:sz w:val="20"/>
              </w:rPr>
            </w:pPr>
            <w:r>
              <w:rPr>
                <w:sz w:val="20"/>
              </w:rPr>
              <w:t>⑦按政府会计准则制度进行账务处理，</w:t>
            </w:r>
            <w:r>
              <w:rPr>
                <w:rFonts w:ascii="Times New Roman" w:hAnsi="Times New Roman" w:eastAsia="Times New Roman"/>
                <w:sz w:val="20"/>
              </w:rPr>
              <w:t>1</w:t>
            </w:r>
            <w:r>
              <w:rPr>
                <w:sz w:val="20"/>
              </w:rPr>
              <w:t>分。</w:t>
            </w:r>
          </w:p>
          <w:p>
            <w:pPr>
              <w:pStyle w:val="23"/>
              <w:spacing w:line="292" w:lineRule="auto"/>
              <w:ind w:left="105" w:right="98"/>
              <w:rPr>
                <w:sz w:val="20"/>
              </w:rPr>
            </w:pPr>
            <w:r>
              <w:rPr>
                <w:spacing w:val="-2"/>
                <w:sz w:val="20"/>
              </w:rPr>
              <w:t>以上情况每出现一例不符合要</w:t>
            </w:r>
            <w:r>
              <w:rPr>
                <w:spacing w:val="-13"/>
                <w:sz w:val="20"/>
              </w:rPr>
              <w:t>求的扣</w:t>
            </w:r>
            <w:r>
              <w:rPr>
                <w:rFonts w:ascii="Times New Roman" w:eastAsia="Times New Roman"/>
                <w:sz w:val="20"/>
              </w:rPr>
              <w:t>1</w:t>
            </w:r>
            <w:r>
              <w:rPr>
                <w:sz w:val="20"/>
              </w:rPr>
              <w:t>分以上，扣完为止。</w:t>
            </w:r>
          </w:p>
        </w:tc>
        <w:tc>
          <w:tcPr>
            <w:tcW w:w="2999" w:type="dxa"/>
          </w:tcPr>
          <w:p>
            <w:pPr>
              <w:pStyle w:val="23"/>
              <w:rPr>
                <w:rFonts w:ascii="Times New Roman"/>
                <w:sz w:val="18"/>
              </w:rPr>
            </w:pPr>
          </w:p>
        </w:tc>
        <w:tc>
          <w:tcPr>
            <w:tcW w:w="532" w:type="dxa"/>
            <w:vAlign w:val="center"/>
          </w:tcPr>
          <w:p>
            <w:pPr>
              <w:pStyle w:val="23"/>
              <w:jc w:val="center"/>
              <w:rPr>
                <w:rFonts w:ascii="Times New Roman"/>
                <w:sz w:val="18"/>
                <w:lang w:val="en-US"/>
              </w:rPr>
            </w:pPr>
            <w:r>
              <w:rPr>
                <w:rFonts w:hint="eastAsia" w:ascii="Times New Roman"/>
                <w:sz w:val="18"/>
                <w:lang w:val="en-US"/>
              </w:rPr>
              <w:t>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7" w:hRule="atLeast"/>
        </w:trPr>
        <w:tc>
          <w:tcPr>
            <w:tcW w:w="516" w:type="dxa"/>
            <w:vMerge w:val="continue"/>
            <w:tcBorders>
              <w:top w:val="nil"/>
            </w:tcBorders>
          </w:tcPr>
          <w:p>
            <w:pPr>
              <w:rPr>
                <w:sz w:val="2"/>
                <w:szCs w:val="2"/>
              </w:rPr>
            </w:pPr>
          </w:p>
        </w:tc>
        <w:tc>
          <w:tcPr>
            <w:tcW w:w="418" w:type="dxa"/>
            <w:vMerge w:val="continue"/>
            <w:tcBorders>
              <w:top w:val="nil"/>
            </w:tcBorders>
          </w:tcPr>
          <w:p>
            <w:pPr>
              <w:rPr>
                <w:sz w:val="2"/>
                <w:szCs w:val="2"/>
              </w:rPr>
            </w:pPr>
          </w:p>
        </w:tc>
        <w:tc>
          <w:tcPr>
            <w:tcW w:w="677" w:type="dxa"/>
            <w:vMerge w:val="continue"/>
            <w:tcBorders>
              <w:top w:val="nil"/>
            </w:tcBorders>
          </w:tcPr>
          <w:p>
            <w:pPr>
              <w:rPr>
                <w:sz w:val="2"/>
                <w:szCs w:val="2"/>
              </w:rPr>
            </w:pPr>
          </w:p>
        </w:tc>
        <w:tc>
          <w:tcPr>
            <w:tcW w:w="415" w:type="dxa"/>
            <w:vMerge w:val="continue"/>
            <w:tcBorders>
              <w:top w:val="nil"/>
            </w:tcBorders>
          </w:tcPr>
          <w:p>
            <w:pPr>
              <w:rPr>
                <w:sz w:val="2"/>
                <w:szCs w:val="2"/>
              </w:rPr>
            </w:pPr>
          </w:p>
        </w:tc>
        <w:tc>
          <w:tcPr>
            <w:tcW w:w="816" w:type="dxa"/>
          </w:tcPr>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spacing w:before="2"/>
              <w:rPr>
                <w:rFonts w:ascii="Times New Roman"/>
                <w:sz w:val="17"/>
              </w:rPr>
            </w:pPr>
          </w:p>
          <w:p>
            <w:pPr>
              <w:pStyle w:val="23"/>
              <w:spacing w:line="292" w:lineRule="auto"/>
              <w:ind w:left="105" w:right="99"/>
              <w:jc w:val="center"/>
              <w:rPr>
                <w:sz w:val="20"/>
              </w:rPr>
            </w:pPr>
            <w:r>
              <w:rPr>
                <w:spacing w:val="-6"/>
                <w:sz w:val="20"/>
              </w:rPr>
              <w:t>预决算</w:t>
            </w:r>
            <w:r>
              <w:rPr>
                <w:sz w:val="20"/>
              </w:rPr>
              <w:t>信息</w:t>
            </w:r>
            <w:r>
              <w:rPr>
                <w:spacing w:val="-6"/>
                <w:sz w:val="20"/>
              </w:rPr>
              <w:t>公开性</w:t>
            </w:r>
          </w:p>
        </w:tc>
        <w:tc>
          <w:tcPr>
            <w:tcW w:w="523" w:type="dxa"/>
          </w:tcPr>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spacing w:before="177"/>
              <w:ind w:left="7"/>
              <w:jc w:val="center"/>
              <w:rPr>
                <w:rFonts w:ascii="Times New Roman"/>
                <w:sz w:val="20"/>
              </w:rPr>
            </w:pPr>
            <w:r>
              <w:rPr>
                <w:rFonts w:ascii="Times New Roman"/>
                <w:w w:val="99"/>
                <w:sz w:val="20"/>
              </w:rPr>
              <w:t>4</w:t>
            </w:r>
          </w:p>
        </w:tc>
        <w:tc>
          <w:tcPr>
            <w:tcW w:w="2853" w:type="dxa"/>
          </w:tcPr>
          <w:p>
            <w:pPr>
              <w:pStyle w:val="23"/>
              <w:spacing w:before="25" w:line="292" w:lineRule="auto"/>
              <w:ind w:left="105" w:right="28"/>
              <w:rPr>
                <w:sz w:val="20"/>
              </w:rPr>
            </w:pPr>
            <w:r>
              <w:rPr>
                <w:sz w:val="20"/>
              </w:rPr>
              <w:t>①规定内容公开预决算信息，</w:t>
            </w:r>
            <w:r>
              <w:rPr>
                <w:rFonts w:ascii="Times New Roman" w:hAnsi="Times New Roman" w:eastAsia="Times New Roman"/>
                <w:sz w:val="20"/>
              </w:rPr>
              <w:t>1</w:t>
            </w:r>
            <w:r>
              <w:rPr>
                <w:sz w:val="20"/>
              </w:rPr>
              <w:t>分；</w:t>
            </w:r>
          </w:p>
          <w:p>
            <w:pPr>
              <w:pStyle w:val="23"/>
              <w:spacing w:line="292" w:lineRule="auto"/>
              <w:ind w:left="105" w:right="100"/>
              <w:rPr>
                <w:sz w:val="20"/>
              </w:rPr>
            </w:pPr>
            <w:r>
              <w:rPr>
                <w:w w:val="95"/>
                <w:sz w:val="20"/>
              </w:rPr>
              <w:t>②按规定时限公开预决算信</w:t>
            </w:r>
            <w:r>
              <w:rPr>
                <w:sz w:val="20"/>
              </w:rPr>
              <w:t>息，</w:t>
            </w:r>
            <w:r>
              <w:rPr>
                <w:rFonts w:ascii="Times New Roman" w:hAnsi="Times New Roman" w:eastAsia="Times New Roman"/>
                <w:sz w:val="20"/>
              </w:rPr>
              <w:t>1</w:t>
            </w:r>
            <w:r>
              <w:rPr>
                <w:sz w:val="20"/>
              </w:rPr>
              <w:t>分；</w:t>
            </w:r>
          </w:p>
          <w:p>
            <w:pPr>
              <w:pStyle w:val="23"/>
              <w:spacing w:line="292" w:lineRule="auto"/>
              <w:ind w:left="105" w:right="97"/>
              <w:rPr>
                <w:sz w:val="20"/>
              </w:rPr>
            </w:pPr>
            <w:r>
              <w:rPr>
                <w:spacing w:val="-1"/>
                <w:sz w:val="20"/>
              </w:rPr>
              <w:t>③基础数据信息和会计信息资</w:t>
            </w:r>
            <w:r>
              <w:rPr>
                <w:sz w:val="20"/>
              </w:rPr>
              <w:t>料真实，</w:t>
            </w:r>
            <w:r>
              <w:rPr>
                <w:rFonts w:ascii="Times New Roman" w:hAnsi="Times New Roman" w:eastAsia="Times New Roman"/>
                <w:sz w:val="20"/>
              </w:rPr>
              <w:t>1</w:t>
            </w:r>
            <w:r>
              <w:rPr>
                <w:spacing w:val="-2"/>
                <w:sz w:val="20"/>
              </w:rPr>
              <w:t>分；</w:t>
            </w:r>
          </w:p>
          <w:p>
            <w:pPr>
              <w:pStyle w:val="23"/>
              <w:spacing w:line="292" w:lineRule="auto"/>
              <w:ind w:left="105" w:right="97"/>
              <w:rPr>
                <w:sz w:val="20"/>
              </w:rPr>
            </w:pPr>
            <w:r>
              <w:rPr>
                <w:spacing w:val="-1"/>
                <w:sz w:val="20"/>
              </w:rPr>
              <w:t>④基础数据信息和会计信息资</w:t>
            </w:r>
            <w:r>
              <w:rPr>
                <w:sz w:val="20"/>
              </w:rPr>
              <w:t>料完整，</w:t>
            </w:r>
            <w:r>
              <w:rPr>
                <w:rFonts w:ascii="Times New Roman" w:hAnsi="Times New Roman" w:eastAsia="Times New Roman"/>
                <w:sz w:val="20"/>
              </w:rPr>
              <w:t>1</w:t>
            </w:r>
            <w:r>
              <w:rPr>
                <w:sz w:val="20"/>
              </w:rPr>
              <w:t>分。</w:t>
            </w:r>
          </w:p>
          <w:p>
            <w:pPr>
              <w:pStyle w:val="23"/>
              <w:spacing w:line="255" w:lineRule="exact"/>
              <w:ind w:left="105"/>
              <w:rPr>
                <w:rFonts w:ascii="Times New Roman" w:eastAsia="Times New Roman"/>
                <w:sz w:val="20"/>
              </w:rPr>
            </w:pPr>
            <w:r>
              <w:rPr>
                <w:sz w:val="20"/>
              </w:rPr>
              <w:t>每出现一例不符合要求的扣</w:t>
            </w:r>
            <w:r>
              <w:rPr>
                <w:rFonts w:ascii="Times New Roman" w:eastAsia="Times New Roman"/>
                <w:sz w:val="20"/>
              </w:rPr>
              <w:t>1</w:t>
            </w:r>
          </w:p>
          <w:p>
            <w:pPr>
              <w:pStyle w:val="23"/>
              <w:spacing w:before="52"/>
              <w:ind w:left="105"/>
              <w:rPr>
                <w:sz w:val="20"/>
              </w:rPr>
            </w:pPr>
            <w:r>
              <w:rPr>
                <w:sz w:val="20"/>
              </w:rPr>
              <w:t>分，扣完为止。</w:t>
            </w:r>
          </w:p>
        </w:tc>
        <w:tc>
          <w:tcPr>
            <w:tcW w:w="2999" w:type="dxa"/>
          </w:tcPr>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spacing w:before="2"/>
              <w:rPr>
                <w:rFonts w:ascii="Times New Roman"/>
                <w:sz w:val="17"/>
              </w:rPr>
            </w:pPr>
          </w:p>
          <w:p>
            <w:pPr>
              <w:pStyle w:val="23"/>
              <w:spacing w:line="292" w:lineRule="auto"/>
              <w:ind w:left="105" w:right="96"/>
              <w:rPr>
                <w:sz w:val="20"/>
              </w:rPr>
            </w:pPr>
            <w:r>
              <w:rPr>
                <w:spacing w:val="-3"/>
                <w:sz w:val="20"/>
              </w:rPr>
              <w:t>预决算信息是指与部门预算、执</w:t>
            </w:r>
            <w:r>
              <w:rPr>
                <w:spacing w:val="-4"/>
                <w:sz w:val="20"/>
              </w:rPr>
              <w:t>行、决算、监督、绩效等管理相</w:t>
            </w:r>
            <w:r>
              <w:rPr>
                <w:spacing w:val="-1"/>
                <w:sz w:val="20"/>
              </w:rPr>
              <w:t>关的信息。</w:t>
            </w:r>
          </w:p>
        </w:tc>
        <w:tc>
          <w:tcPr>
            <w:tcW w:w="532" w:type="dxa"/>
            <w:vAlign w:val="center"/>
          </w:tcPr>
          <w:p>
            <w:pPr>
              <w:pStyle w:val="23"/>
              <w:jc w:val="center"/>
              <w:rPr>
                <w:rFonts w:ascii="Times New Roman"/>
                <w:sz w:val="18"/>
                <w:lang w:val="en-US"/>
              </w:rPr>
            </w:pPr>
            <w:r>
              <w:rPr>
                <w:rFonts w:hint="eastAsia" w:ascii="Times New Roman"/>
                <w:sz w:val="18"/>
                <w:lang w:val="en-US"/>
              </w:rPr>
              <w:t>4</w:t>
            </w:r>
          </w:p>
        </w:tc>
      </w:tr>
    </w:tbl>
    <w:p>
      <w:pPr>
        <w:rPr>
          <w:rFonts w:ascii="Times New Roman"/>
          <w:sz w:val="18"/>
        </w:rPr>
        <w:sectPr>
          <w:pgSz w:w="11910" w:h="16840"/>
          <w:pgMar w:top="1580" w:right="840" w:bottom="1520" w:left="960" w:header="0" w:footer="1322" w:gutter="0"/>
          <w:cols w:space="720" w:num="1"/>
        </w:sectPr>
      </w:pPr>
    </w:p>
    <w:p>
      <w:pPr>
        <w:pStyle w:val="6"/>
        <w:rPr>
          <w:rFonts w:ascii="Times New Roman"/>
          <w:sz w:val="9"/>
        </w:rPr>
      </w:pPr>
    </w:p>
    <w:tbl>
      <w:tblPr>
        <w:tblStyle w:val="14"/>
        <w:tblW w:w="0" w:type="auto"/>
        <w:tblInd w:w="12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16"/>
        <w:gridCol w:w="418"/>
        <w:gridCol w:w="677"/>
        <w:gridCol w:w="415"/>
        <w:gridCol w:w="816"/>
        <w:gridCol w:w="523"/>
        <w:gridCol w:w="2853"/>
        <w:gridCol w:w="2999"/>
        <w:gridCol w:w="53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516" w:type="dxa"/>
          </w:tcPr>
          <w:p>
            <w:pPr>
              <w:pStyle w:val="23"/>
              <w:spacing w:before="25" w:line="292" w:lineRule="auto"/>
              <w:ind w:left="155" w:right="149"/>
              <w:rPr>
                <w:rFonts w:ascii="黑体" w:eastAsia="黑体"/>
                <w:sz w:val="20"/>
              </w:rPr>
            </w:pPr>
            <w:r>
              <w:rPr>
                <w:rFonts w:hint="eastAsia" w:ascii="黑体" w:eastAsia="黑体"/>
                <w:sz w:val="20"/>
              </w:rPr>
              <w:t>一级指</w:t>
            </w:r>
          </w:p>
          <w:p>
            <w:pPr>
              <w:pStyle w:val="23"/>
              <w:spacing w:line="254" w:lineRule="exact"/>
              <w:ind w:left="155"/>
              <w:rPr>
                <w:rFonts w:ascii="黑体" w:eastAsia="黑体"/>
                <w:sz w:val="20"/>
              </w:rPr>
            </w:pPr>
            <w:r>
              <w:rPr>
                <w:rFonts w:hint="eastAsia" w:ascii="黑体" w:eastAsia="黑体"/>
                <w:w w:val="99"/>
                <w:sz w:val="20"/>
              </w:rPr>
              <w:t>标</w:t>
            </w:r>
          </w:p>
        </w:tc>
        <w:tc>
          <w:tcPr>
            <w:tcW w:w="418" w:type="dxa"/>
          </w:tcPr>
          <w:p>
            <w:pPr>
              <w:pStyle w:val="23"/>
              <w:spacing w:before="3"/>
              <w:rPr>
                <w:rFonts w:ascii="Times New Roman"/>
                <w:sz w:val="29"/>
              </w:rPr>
            </w:pPr>
          </w:p>
          <w:p>
            <w:pPr>
              <w:pStyle w:val="23"/>
              <w:spacing w:before="1" w:line="292" w:lineRule="auto"/>
              <w:ind w:left="107" w:right="99"/>
              <w:rPr>
                <w:rFonts w:ascii="黑体" w:eastAsia="黑体"/>
                <w:sz w:val="20"/>
              </w:rPr>
            </w:pPr>
            <w:r>
              <w:rPr>
                <w:rFonts w:hint="eastAsia" w:ascii="黑体" w:eastAsia="黑体"/>
                <w:sz w:val="20"/>
              </w:rPr>
              <w:t>分值</w:t>
            </w:r>
          </w:p>
        </w:tc>
        <w:tc>
          <w:tcPr>
            <w:tcW w:w="677" w:type="dxa"/>
          </w:tcPr>
          <w:p>
            <w:pPr>
              <w:pStyle w:val="23"/>
              <w:spacing w:before="3"/>
              <w:rPr>
                <w:rFonts w:ascii="Times New Roman"/>
                <w:sz w:val="29"/>
              </w:rPr>
            </w:pPr>
          </w:p>
          <w:p>
            <w:pPr>
              <w:pStyle w:val="23"/>
              <w:spacing w:before="1" w:line="292" w:lineRule="auto"/>
              <w:ind w:left="136" w:right="130"/>
              <w:rPr>
                <w:rFonts w:ascii="黑体" w:eastAsia="黑体"/>
                <w:sz w:val="20"/>
              </w:rPr>
            </w:pPr>
            <w:r>
              <w:rPr>
                <w:rFonts w:hint="eastAsia" w:ascii="黑体" w:eastAsia="黑体"/>
                <w:sz w:val="20"/>
              </w:rPr>
              <w:t>二级指标</w:t>
            </w:r>
          </w:p>
        </w:tc>
        <w:tc>
          <w:tcPr>
            <w:tcW w:w="415" w:type="dxa"/>
          </w:tcPr>
          <w:p>
            <w:pPr>
              <w:pStyle w:val="23"/>
              <w:spacing w:before="3"/>
              <w:rPr>
                <w:rFonts w:ascii="Times New Roman"/>
                <w:sz w:val="29"/>
              </w:rPr>
            </w:pPr>
          </w:p>
          <w:p>
            <w:pPr>
              <w:pStyle w:val="23"/>
              <w:spacing w:before="1" w:line="292" w:lineRule="auto"/>
              <w:ind w:left="104" w:right="99"/>
              <w:rPr>
                <w:rFonts w:ascii="黑体" w:eastAsia="黑体"/>
                <w:sz w:val="20"/>
              </w:rPr>
            </w:pPr>
            <w:r>
              <w:rPr>
                <w:rFonts w:hint="eastAsia" w:ascii="黑体" w:eastAsia="黑体"/>
                <w:sz w:val="20"/>
              </w:rPr>
              <w:t>分值</w:t>
            </w:r>
          </w:p>
        </w:tc>
        <w:tc>
          <w:tcPr>
            <w:tcW w:w="816" w:type="dxa"/>
          </w:tcPr>
          <w:p>
            <w:pPr>
              <w:pStyle w:val="23"/>
              <w:spacing w:before="3"/>
              <w:rPr>
                <w:rFonts w:ascii="Times New Roman"/>
                <w:sz w:val="29"/>
              </w:rPr>
            </w:pPr>
          </w:p>
          <w:p>
            <w:pPr>
              <w:pStyle w:val="23"/>
              <w:spacing w:before="1" w:line="292" w:lineRule="auto"/>
              <w:ind w:left="205" w:right="201"/>
              <w:rPr>
                <w:rFonts w:ascii="黑体" w:eastAsia="黑体"/>
                <w:sz w:val="20"/>
              </w:rPr>
            </w:pPr>
            <w:r>
              <w:rPr>
                <w:rFonts w:hint="eastAsia" w:ascii="黑体" w:eastAsia="黑体"/>
                <w:sz w:val="20"/>
              </w:rPr>
              <w:t>三级指标</w:t>
            </w:r>
          </w:p>
        </w:tc>
        <w:tc>
          <w:tcPr>
            <w:tcW w:w="523" w:type="dxa"/>
          </w:tcPr>
          <w:p>
            <w:pPr>
              <w:pStyle w:val="23"/>
              <w:spacing w:before="3"/>
              <w:rPr>
                <w:rFonts w:ascii="Times New Roman"/>
                <w:sz w:val="29"/>
              </w:rPr>
            </w:pPr>
          </w:p>
          <w:p>
            <w:pPr>
              <w:pStyle w:val="23"/>
              <w:spacing w:before="1" w:line="292" w:lineRule="auto"/>
              <w:ind w:left="160" w:right="151"/>
              <w:rPr>
                <w:rFonts w:ascii="黑体" w:eastAsia="黑体"/>
                <w:sz w:val="20"/>
              </w:rPr>
            </w:pPr>
            <w:r>
              <w:rPr>
                <w:rFonts w:hint="eastAsia" w:ascii="黑体" w:eastAsia="黑体"/>
                <w:sz w:val="20"/>
              </w:rPr>
              <w:t>分值</w:t>
            </w:r>
          </w:p>
        </w:tc>
        <w:tc>
          <w:tcPr>
            <w:tcW w:w="2853" w:type="dxa"/>
          </w:tcPr>
          <w:p>
            <w:pPr>
              <w:pStyle w:val="23"/>
              <w:rPr>
                <w:rFonts w:ascii="Times New Roman"/>
                <w:sz w:val="20"/>
              </w:rPr>
            </w:pPr>
          </w:p>
          <w:p>
            <w:pPr>
              <w:pStyle w:val="23"/>
              <w:spacing w:before="10"/>
              <w:rPr>
                <w:rFonts w:ascii="Times New Roman"/>
                <w:sz w:val="22"/>
              </w:rPr>
            </w:pPr>
          </w:p>
          <w:p>
            <w:pPr>
              <w:pStyle w:val="23"/>
              <w:ind w:left="1003" w:right="999"/>
              <w:jc w:val="center"/>
              <w:rPr>
                <w:rFonts w:ascii="黑体" w:eastAsia="黑体"/>
                <w:sz w:val="20"/>
              </w:rPr>
            </w:pPr>
            <w:r>
              <w:rPr>
                <w:rFonts w:hint="eastAsia" w:ascii="黑体" w:eastAsia="黑体"/>
                <w:sz w:val="20"/>
              </w:rPr>
              <w:t>评价标准</w:t>
            </w:r>
          </w:p>
        </w:tc>
        <w:tc>
          <w:tcPr>
            <w:tcW w:w="2999" w:type="dxa"/>
          </w:tcPr>
          <w:p>
            <w:pPr>
              <w:pStyle w:val="23"/>
              <w:rPr>
                <w:rFonts w:ascii="Times New Roman"/>
                <w:sz w:val="20"/>
              </w:rPr>
            </w:pPr>
          </w:p>
          <w:p>
            <w:pPr>
              <w:pStyle w:val="23"/>
              <w:spacing w:before="10"/>
              <w:rPr>
                <w:rFonts w:ascii="Times New Roman"/>
                <w:sz w:val="22"/>
              </w:rPr>
            </w:pPr>
          </w:p>
          <w:p>
            <w:pPr>
              <w:pStyle w:val="23"/>
              <w:ind w:left="1076" w:right="1072"/>
              <w:jc w:val="center"/>
              <w:rPr>
                <w:rFonts w:ascii="黑体" w:eastAsia="黑体"/>
                <w:sz w:val="20"/>
              </w:rPr>
            </w:pPr>
            <w:r>
              <w:rPr>
                <w:rFonts w:hint="eastAsia" w:ascii="黑体" w:eastAsia="黑体"/>
                <w:sz w:val="20"/>
              </w:rPr>
              <w:t>指标说明</w:t>
            </w:r>
          </w:p>
        </w:tc>
        <w:tc>
          <w:tcPr>
            <w:tcW w:w="532" w:type="dxa"/>
          </w:tcPr>
          <w:p>
            <w:pPr>
              <w:pStyle w:val="23"/>
              <w:spacing w:before="3"/>
              <w:rPr>
                <w:rFonts w:ascii="Times New Roman"/>
                <w:sz w:val="29"/>
              </w:rPr>
            </w:pPr>
          </w:p>
          <w:p>
            <w:pPr>
              <w:pStyle w:val="23"/>
              <w:spacing w:before="1" w:line="292" w:lineRule="auto"/>
              <w:ind w:left="166" w:right="154"/>
              <w:rPr>
                <w:rFonts w:ascii="黑体" w:eastAsia="黑体"/>
                <w:sz w:val="20"/>
              </w:rPr>
            </w:pPr>
            <w:r>
              <w:rPr>
                <w:rFonts w:hint="eastAsia" w:ascii="黑体" w:eastAsia="黑体"/>
                <w:sz w:val="20"/>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3" w:hRule="atLeast"/>
        </w:trPr>
        <w:tc>
          <w:tcPr>
            <w:tcW w:w="516" w:type="dxa"/>
            <w:vMerge w:val="restart"/>
          </w:tcPr>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spacing w:before="7"/>
              <w:rPr>
                <w:rFonts w:ascii="Times New Roman"/>
                <w:sz w:val="16"/>
              </w:rPr>
            </w:pPr>
          </w:p>
          <w:p>
            <w:pPr>
              <w:pStyle w:val="23"/>
              <w:spacing w:line="292" w:lineRule="auto"/>
              <w:ind w:left="155" w:right="149"/>
              <w:rPr>
                <w:sz w:val="20"/>
              </w:rPr>
            </w:pPr>
            <w:r>
              <w:rPr>
                <w:sz w:val="20"/>
              </w:rPr>
              <w:t>过程</w:t>
            </w:r>
          </w:p>
        </w:tc>
        <w:tc>
          <w:tcPr>
            <w:tcW w:w="418" w:type="dxa"/>
            <w:vMerge w:val="restart"/>
          </w:tcPr>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spacing w:before="4"/>
              <w:rPr>
                <w:rFonts w:ascii="Times New Roman"/>
                <w:sz w:val="27"/>
              </w:rPr>
            </w:pPr>
          </w:p>
          <w:p>
            <w:pPr>
              <w:pStyle w:val="23"/>
              <w:ind w:left="107"/>
              <w:rPr>
                <w:rFonts w:ascii="Times New Roman"/>
                <w:sz w:val="20"/>
              </w:rPr>
            </w:pPr>
            <w:r>
              <w:rPr>
                <w:rFonts w:ascii="Times New Roman"/>
                <w:sz w:val="20"/>
              </w:rPr>
              <w:t>56</w:t>
            </w:r>
          </w:p>
        </w:tc>
        <w:tc>
          <w:tcPr>
            <w:tcW w:w="677" w:type="dxa"/>
            <w:vMerge w:val="restart"/>
          </w:tcPr>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spacing w:before="7"/>
              <w:rPr>
                <w:rFonts w:ascii="Times New Roman"/>
                <w:sz w:val="16"/>
              </w:rPr>
            </w:pPr>
          </w:p>
          <w:p>
            <w:pPr>
              <w:pStyle w:val="23"/>
              <w:spacing w:line="292" w:lineRule="auto"/>
              <w:ind w:left="105" w:right="161"/>
              <w:rPr>
                <w:sz w:val="20"/>
              </w:rPr>
            </w:pPr>
            <w:r>
              <w:rPr>
                <w:sz w:val="20"/>
              </w:rPr>
              <w:t>资产管理</w:t>
            </w:r>
          </w:p>
        </w:tc>
        <w:tc>
          <w:tcPr>
            <w:tcW w:w="415" w:type="dxa"/>
            <w:vMerge w:val="restart"/>
          </w:tcPr>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spacing w:before="4"/>
              <w:rPr>
                <w:rFonts w:ascii="Times New Roman"/>
                <w:sz w:val="27"/>
              </w:rPr>
            </w:pPr>
          </w:p>
          <w:p>
            <w:pPr>
              <w:pStyle w:val="23"/>
              <w:ind w:left="4"/>
              <w:jc w:val="center"/>
              <w:rPr>
                <w:rFonts w:ascii="Times New Roman"/>
                <w:sz w:val="20"/>
              </w:rPr>
            </w:pPr>
            <w:r>
              <w:rPr>
                <w:rFonts w:ascii="Times New Roman"/>
                <w:w w:val="99"/>
                <w:sz w:val="20"/>
              </w:rPr>
              <w:t>9</w:t>
            </w:r>
          </w:p>
        </w:tc>
        <w:tc>
          <w:tcPr>
            <w:tcW w:w="816" w:type="dxa"/>
          </w:tcPr>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5"/>
              </w:rPr>
            </w:pPr>
          </w:p>
          <w:p>
            <w:pPr>
              <w:pStyle w:val="23"/>
              <w:spacing w:line="292" w:lineRule="auto"/>
              <w:ind w:left="105" w:right="99" w:firstLine="100"/>
              <w:rPr>
                <w:sz w:val="20"/>
              </w:rPr>
            </w:pPr>
            <w:r>
              <w:rPr>
                <w:sz w:val="20"/>
              </w:rPr>
              <w:t>资产管理制度健全性</w:t>
            </w:r>
          </w:p>
        </w:tc>
        <w:tc>
          <w:tcPr>
            <w:tcW w:w="523" w:type="dxa"/>
          </w:tcPr>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spacing w:before="194"/>
              <w:ind w:left="7"/>
              <w:jc w:val="center"/>
              <w:rPr>
                <w:rFonts w:ascii="Times New Roman"/>
                <w:sz w:val="20"/>
              </w:rPr>
            </w:pPr>
            <w:r>
              <w:rPr>
                <w:rFonts w:ascii="Times New Roman"/>
                <w:w w:val="99"/>
                <w:sz w:val="20"/>
              </w:rPr>
              <w:t>3</w:t>
            </w:r>
          </w:p>
        </w:tc>
        <w:tc>
          <w:tcPr>
            <w:tcW w:w="2853" w:type="dxa"/>
          </w:tcPr>
          <w:p>
            <w:pPr>
              <w:pStyle w:val="23"/>
              <w:rPr>
                <w:rFonts w:ascii="Times New Roman"/>
                <w:sz w:val="20"/>
              </w:rPr>
            </w:pPr>
          </w:p>
          <w:p>
            <w:pPr>
              <w:pStyle w:val="23"/>
              <w:spacing w:before="124" w:line="292" w:lineRule="auto"/>
              <w:ind w:left="105" w:right="99"/>
              <w:rPr>
                <w:sz w:val="20"/>
              </w:rPr>
            </w:pPr>
            <w:r>
              <w:rPr>
                <w:spacing w:val="9"/>
                <w:w w:val="95"/>
                <w:sz w:val="20"/>
              </w:rPr>
              <w:t>①资产购置编制年度预算，</w:t>
            </w:r>
            <w:r>
              <w:rPr>
                <w:rFonts w:ascii="Times New Roman" w:hAnsi="Times New Roman" w:eastAsia="Times New Roman"/>
                <w:w w:val="95"/>
                <w:sz w:val="20"/>
              </w:rPr>
              <w:t>1</w:t>
            </w:r>
            <w:r>
              <w:rPr>
                <w:sz w:val="20"/>
              </w:rPr>
              <w:t>分；</w:t>
            </w:r>
          </w:p>
          <w:p>
            <w:pPr>
              <w:pStyle w:val="23"/>
              <w:spacing w:line="292" w:lineRule="auto"/>
              <w:ind w:left="105" w:right="99"/>
              <w:rPr>
                <w:sz w:val="20"/>
              </w:rPr>
            </w:pPr>
            <w:r>
              <w:rPr>
                <w:spacing w:val="-3"/>
                <w:sz w:val="20"/>
              </w:rPr>
              <w:t>②资产购置和处置手续齐全，</w:t>
            </w:r>
            <w:r>
              <w:rPr>
                <w:rFonts w:ascii="Times New Roman" w:hAnsi="Times New Roman" w:eastAsia="Times New Roman"/>
                <w:spacing w:val="-39"/>
                <w:sz w:val="20"/>
              </w:rPr>
              <w:t>1</w:t>
            </w:r>
            <w:r>
              <w:rPr>
                <w:sz w:val="20"/>
              </w:rPr>
              <w:t>分；</w:t>
            </w:r>
          </w:p>
          <w:p>
            <w:pPr>
              <w:pStyle w:val="23"/>
              <w:spacing w:line="292" w:lineRule="auto"/>
              <w:ind w:left="105" w:right="100"/>
              <w:rPr>
                <w:sz w:val="20"/>
              </w:rPr>
            </w:pPr>
            <w:r>
              <w:rPr>
                <w:sz w:val="20"/>
              </w:rPr>
              <w:t>③资产处置和有偿使用资金足额上缴，</w:t>
            </w:r>
            <w:r>
              <w:rPr>
                <w:rFonts w:ascii="Times New Roman" w:hAnsi="Times New Roman" w:eastAsia="Times New Roman"/>
                <w:sz w:val="20"/>
              </w:rPr>
              <w:t>1</w:t>
            </w:r>
            <w:r>
              <w:rPr>
                <w:sz w:val="20"/>
              </w:rPr>
              <w:t>分。</w:t>
            </w:r>
          </w:p>
          <w:p>
            <w:pPr>
              <w:pStyle w:val="23"/>
              <w:spacing w:line="292" w:lineRule="auto"/>
              <w:ind w:left="105" w:right="36"/>
              <w:rPr>
                <w:sz w:val="20"/>
              </w:rPr>
            </w:pPr>
            <w:r>
              <w:rPr>
                <w:spacing w:val="-18"/>
                <w:sz w:val="20"/>
              </w:rPr>
              <w:t>以上每一项不符合规定扣</w:t>
            </w:r>
            <w:r>
              <w:rPr>
                <w:rFonts w:ascii="Times New Roman" w:eastAsia="Times New Roman"/>
                <w:sz w:val="20"/>
              </w:rPr>
              <w:t>1</w:t>
            </w:r>
            <w:r>
              <w:rPr>
                <w:spacing w:val="-29"/>
                <w:sz w:val="20"/>
              </w:rPr>
              <w:t>分，扣</w:t>
            </w:r>
            <w:r>
              <w:rPr>
                <w:spacing w:val="-16"/>
                <w:sz w:val="20"/>
              </w:rPr>
              <w:t>完即止。</w:t>
            </w:r>
          </w:p>
        </w:tc>
        <w:tc>
          <w:tcPr>
            <w:tcW w:w="2999" w:type="dxa"/>
          </w:tcPr>
          <w:p>
            <w:pPr>
              <w:pStyle w:val="23"/>
              <w:rPr>
                <w:rFonts w:ascii="Times New Roman"/>
                <w:sz w:val="20"/>
              </w:rPr>
            </w:pPr>
          </w:p>
          <w:p>
            <w:pPr>
              <w:pStyle w:val="23"/>
              <w:rPr>
                <w:rFonts w:ascii="Times New Roman"/>
                <w:sz w:val="20"/>
              </w:rPr>
            </w:pPr>
          </w:p>
          <w:p>
            <w:pPr>
              <w:pStyle w:val="23"/>
              <w:rPr>
                <w:rFonts w:ascii="Times New Roman"/>
                <w:sz w:val="20"/>
              </w:rPr>
            </w:pPr>
          </w:p>
          <w:p>
            <w:pPr>
              <w:pStyle w:val="23"/>
              <w:spacing w:before="132" w:line="292" w:lineRule="auto"/>
              <w:ind w:left="105" w:right="96"/>
              <w:rPr>
                <w:sz w:val="20"/>
              </w:rPr>
            </w:pPr>
            <w:r>
              <w:rPr>
                <w:spacing w:val="-3"/>
                <w:sz w:val="20"/>
              </w:rPr>
              <w:t>单位为加强预算管理、规范财务</w:t>
            </w:r>
            <w:r>
              <w:rPr>
                <w:spacing w:val="11"/>
                <w:sz w:val="20"/>
              </w:rPr>
              <w:t>行为而制定的管理制度是否健</w:t>
            </w:r>
            <w:r>
              <w:rPr>
                <w:spacing w:val="-5"/>
                <w:sz w:val="20"/>
              </w:rPr>
              <w:t>全完整，用以反映和考核单位预</w:t>
            </w:r>
            <w:r>
              <w:rPr>
                <w:spacing w:val="11"/>
                <w:sz w:val="20"/>
              </w:rPr>
              <w:t>算管理制度对完成主要职责或</w:t>
            </w:r>
            <w:r>
              <w:rPr>
                <w:sz w:val="20"/>
              </w:rPr>
              <w:t>促进事业发展的保障情况。</w:t>
            </w:r>
          </w:p>
        </w:tc>
        <w:tc>
          <w:tcPr>
            <w:tcW w:w="532" w:type="dxa"/>
            <w:vAlign w:val="center"/>
          </w:tcPr>
          <w:p>
            <w:pPr>
              <w:pStyle w:val="23"/>
              <w:jc w:val="center"/>
              <w:rPr>
                <w:rFonts w:ascii="Times New Roman"/>
                <w:sz w:val="18"/>
                <w:lang w:val="en-US"/>
              </w:rPr>
            </w:pPr>
            <w:r>
              <w:rPr>
                <w:rFonts w:hint="eastAsia" w:ascii="Times New Roman"/>
                <w:sz w:val="18"/>
                <w:lang w:val="en-US"/>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5" w:hRule="atLeast"/>
        </w:trPr>
        <w:tc>
          <w:tcPr>
            <w:tcW w:w="516" w:type="dxa"/>
            <w:vMerge w:val="continue"/>
            <w:tcBorders>
              <w:top w:val="nil"/>
            </w:tcBorders>
          </w:tcPr>
          <w:p>
            <w:pPr>
              <w:rPr>
                <w:sz w:val="2"/>
                <w:szCs w:val="2"/>
              </w:rPr>
            </w:pPr>
          </w:p>
        </w:tc>
        <w:tc>
          <w:tcPr>
            <w:tcW w:w="418" w:type="dxa"/>
            <w:vMerge w:val="continue"/>
            <w:tcBorders>
              <w:top w:val="nil"/>
            </w:tcBorders>
          </w:tcPr>
          <w:p>
            <w:pPr>
              <w:rPr>
                <w:sz w:val="2"/>
                <w:szCs w:val="2"/>
              </w:rPr>
            </w:pPr>
          </w:p>
        </w:tc>
        <w:tc>
          <w:tcPr>
            <w:tcW w:w="677" w:type="dxa"/>
            <w:vMerge w:val="continue"/>
            <w:tcBorders>
              <w:top w:val="nil"/>
            </w:tcBorders>
          </w:tcPr>
          <w:p>
            <w:pPr>
              <w:rPr>
                <w:sz w:val="2"/>
                <w:szCs w:val="2"/>
              </w:rPr>
            </w:pPr>
          </w:p>
        </w:tc>
        <w:tc>
          <w:tcPr>
            <w:tcW w:w="415" w:type="dxa"/>
            <w:vMerge w:val="continue"/>
            <w:tcBorders>
              <w:top w:val="nil"/>
            </w:tcBorders>
          </w:tcPr>
          <w:p>
            <w:pPr>
              <w:rPr>
                <w:sz w:val="2"/>
                <w:szCs w:val="2"/>
              </w:rPr>
            </w:pPr>
          </w:p>
        </w:tc>
        <w:tc>
          <w:tcPr>
            <w:tcW w:w="816" w:type="dxa"/>
          </w:tcPr>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spacing w:before="8"/>
              <w:rPr>
                <w:rFonts w:ascii="Times New Roman"/>
                <w:sz w:val="29"/>
              </w:rPr>
            </w:pPr>
          </w:p>
          <w:p>
            <w:pPr>
              <w:pStyle w:val="23"/>
              <w:spacing w:line="292" w:lineRule="auto"/>
              <w:ind w:left="105" w:right="99" w:firstLine="100"/>
              <w:rPr>
                <w:sz w:val="20"/>
              </w:rPr>
            </w:pPr>
            <w:r>
              <w:rPr>
                <w:sz w:val="20"/>
              </w:rPr>
              <w:t>资产管理安全性</w:t>
            </w:r>
          </w:p>
        </w:tc>
        <w:tc>
          <w:tcPr>
            <w:tcW w:w="523" w:type="dxa"/>
          </w:tcPr>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spacing w:before="184"/>
              <w:ind w:left="7"/>
              <w:jc w:val="center"/>
              <w:rPr>
                <w:rFonts w:ascii="Times New Roman"/>
                <w:sz w:val="20"/>
              </w:rPr>
            </w:pPr>
            <w:r>
              <w:rPr>
                <w:rFonts w:ascii="Times New Roman"/>
                <w:w w:val="99"/>
                <w:sz w:val="20"/>
              </w:rPr>
              <w:t>5</w:t>
            </w:r>
          </w:p>
        </w:tc>
        <w:tc>
          <w:tcPr>
            <w:tcW w:w="2853" w:type="dxa"/>
          </w:tcPr>
          <w:p>
            <w:pPr>
              <w:pStyle w:val="23"/>
              <w:rPr>
                <w:rFonts w:ascii="Times New Roman"/>
                <w:sz w:val="22"/>
              </w:rPr>
            </w:pPr>
          </w:p>
          <w:p>
            <w:pPr>
              <w:pStyle w:val="23"/>
              <w:spacing w:before="3"/>
              <w:rPr>
                <w:rFonts w:ascii="Times New Roman"/>
                <w:sz w:val="31"/>
              </w:rPr>
            </w:pPr>
          </w:p>
          <w:p>
            <w:pPr>
              <w:pStyle w:val="23"/>
              <w:spacing w:before="1" w:line="292" w:lineRule="auto"/>
              <w:ind w:left="105" w:right="97"/>
              <w:rPr>
                <w:sz w:val="20"/>
              </w:rPr>
            </w:pPr>
            <w:r>
              <w:rPr>
                <w:spacing w:val="-1"/>
                <w:sz w:val="20"/>
              </w:rPr>
              <w:t>①资产配置合理、保管完整，</w:t>
            </w:r>
            <w:r>
              <w:rPr>
                <w:spacing w:val="-6"/>
                <w:sz w:val="20"/>
              </w:rPr>
              <w:t>账实相符的，计</w:t>
            </w:r>
            <w:r>
              <w:rPr>
                <w:rFonts w:ascii="Times New Roman" w:hAnsi="Times New Roman" w:eastAsia="Times New Roman"/>
                <w:sz w:val="20"/>
              </w:rPr>
              <w:t>1</w:t>
            </w:r>
            <w:r>
              <w:rPr>
                <w:spacing w:val="-1"/>
                <w:sz w:val="20"/>
              </w:rPr>
              <w:t>分，发现一</w:t>
            </w:r>
          </w:p>
          <w:p>
            <w:pPr>
              <w:pStyle w:val="23"/>
              <w:spacing w:line="255" w:lineRule="exact"/>
              <w:ind w:left="105"/>
              <w:rPr>
                <w:sz w:val="20"/>
              </w:rPr>
            </w:pPr>
            <w:r>
              <w:rPr>
                <w:spacing w:val="-11"/>
                <w:sz w:val="20"/>
              </w:rPr>
              <w:t>例不符，扣</w:t>
            </w:r>
            <w:r>
              <w:rPr>
                <w:rFonts w:ascii="Times New Roman" w:eastAsia="Times New Roman"/>
                <w:sz w:val="20"/>
              </w:rPr>
              <w:t>0.5</w:t>
            </w:r>
            <w:r>
              <w:rPr>
                <w:spacing w:val="-4"/>
                <w:sz w:val="20"/>
              </w:rPr>
              <w:t>分，扣完为止；</w:t>
            </w:r>
          </w:p>
          <w:p>
            <w:pPr>
              <w:pStyle w:val="23"/>
              <w:spacing w:before="55" w:line="292" w:lineRule="auto"/>
              <w:ind w:left="105" w:right="1"/>
              <w:rPr>
                <w:sz w:val="20"/>
              </w:rPr>
            </w:pPr>
            <w:r>
              <w:rPr>
                <w:spacing w:val="-11"/>
                <w:sz w:val="20"/>
              </w:rPr>
              <w:t>②不超资产配置标准，计</w:t>
            </w:r>
            <w:r>
              <w:rPr>
                <w:rFonts w:ascii="Times New Roman" w:hAnsi="Times New Roman" w:eastAsia="Times New Roman"/>
                <w:sz w:val="20"/>
              </w:rPr>
              <w:t>1</w:t>
            </w:r>
            <w:r>
              <w:rPr>
                <w:spacing w:val="-8"/>
                <w:sz w:val="20"/>
              </w:rPr>
              <w:t>分，</w:t>
            </w:r>
            <w:r>
              <w:rPr>
                <w:sz w:val="20"/>
              </w:rPr>
              <w:t>发现一例超过标准的，本项不得分；</w:t>
            </w:r>
          </w:p>
          <w:p>
            <w:pPr>
              <w:pStyle w:val="23"/>
              <w:spacing w:line="254" w:lineRule="exact"/>
              <w:ind w:left="105"/>
              <w:rPr>
                <w:sz w:val="20"/>
              </w:rPr>
            </w:pPr>
            <w:r>
              <w:rPr>
                <w:sz w:val="20"/>
              </w:rPr>
              <w:t>③资产处置规范，计</w:t>
            </w:r>
            <w:r>
              <w:rPr>
                <w:rFonts w:ascii="Times New Roman" w:hAnsi="Times New Roman" w:eastAsia="Times New Roman"/>
                <w:sz w:val="20"/>
              </w:rPr>
              <w:t>1</w:t>
            </w:r>
            <w:r>
              <w:rPr>
                <w:sz w:val="20"/>
              </w:rPr>
              <w:t>分，发</w:t>
            </w:r>
          </w:p>
          <w:p>
            <w:pPr>
              <w:pStyle w:val="23"/>
              <w:spacing w:before="56" w:line="292" w:lineRule="auto"/>
              <w:ind w:left="105" w:right="100"/>
              <w:rPr>
                <w:sz w:val="20"/>
              </w:rPr>
            </w:pPr>
            <w:r>
              <w:rPr>
                <w:sz w:val="20"/>
              </w:rPr>
              <w:t>现一例不符，扣</w:t>
            </w:r>
            <w:r>
              <w:rPr>
                <w:rFonts w:ascii="Times New Roman" w:eastAsia="Times New Roman"/>
                <w:sz w:val="20"/>
              </w:rPr>
              <w:t>0.5</w:t>
            </w:r>
            <w:r>
              <w:rPr>
                <w:sz w:val="20"/>
              </w:rPr>
              <w:t>分，扣完为止；</w:t>
            </w:r>
          </w:p>
          <w:p>
            <w:pPr>
              <w:pStyle w:val="23"/>
              <w:spacing w:line="292" w:lineRule="auto"/>
              <w:ind w:left="105" w:right="98"/>
              <w:rPr>
                <w:sz w:val="20"/>
              </w:rPr>
            </w:pPr>
            <w:r>
              <w:rPr>
                <w:spacing w:val="19"/>
                <w:w w:val="95"/>
                <w:sz w:val="20"/>
              </w:rPr>
              <w:t>④资产购置履行政府采购手</w:t>
            </w:r>
            <w:r>
              <w:rPr>
                <w:spacing w:val="-6"/>
                <w:sz w:val="20"/>
              </w:rPr>
              <w:t>续，手续完整，计</w:t>
            </w:r>
            <w:r>
              <w:rPr>
                <w:rFonts w:ascii="Times New Roman" w:hAnsi="Times New Roman" w:eastAsia="Times New Roman"/>
                <w:sz w:val="20"/>
              </w:rPr>
              <w:t>1</w:t>
            </w:r>
            <w:r>
              <w:rPr>
                <w:spacing w:val="-2"/>
                <w:sz w:val="20"/>
              </w:rPr>
              <w:t>分，发现</w:t>
            </w:r>
          </w:p>
          <w:p>
            <w:pPr>
              <w:pStyle w:val="23"/>
              <w:spacing w:line="292" w:lineRule="auto"/>
              <w:ind w:left="105" w:right="98"/>
              <w:rPr>
                <w:sz w:val="20"/>
              </w:rPr>
            </w:pPr>
            <w:r>
              <w:rPr>
                <w:sz w:val="20"/>
              </w:rPr>
              <w:t>一例不符，扣</w:t>
            </w:r>
            <w:r>
              <w:rPr>
                <w:rFonts w:ascii="Times New Roman" w:eastAsia="Times New Roman"/>
                <w:sz w:val="20"/>
              </w:rPr>
              <w:t>0.5</w:t>
            </w:r>
            <w:r>
              <w:rPr>
                <w:sz w:val="20"/>
              </w:rPr>
              <w:t>分，扣完为止；</w:t>
            </w:r>
          </w:p>
          <w:p>
            <w:pPr>
              <w:pStyle w:val="23"/>
              <w:spacing w:line="292" w:lineRule="auto"/>
              <w:ind w:left="105" w:right="97"/>
              <w:rPr>
                <w:sz w:val="20"/>
              </w:rPr>
            </w:pPr>
            <w:r>
              <w:rPr>
                <w:spacing w:val="-1"/>
                <w:sz w:val="20"/>
              </w:rPr>
              <w:t>⑤资产审批手续规范、齐全，</w:t>
            </w:r>
            <w:r>
              <w:rPr>
                <w:spacing w:val="-25"/>
                <w:sz w:val="20"/>
              </w:rPr>
              <w:t>计</w:t>
            </w:r>
            <w:r>
              <w:rPr>
                <w:rFonts w:ascii="Times New Roman" w:hAnsi="Times New Roman" w:eastAsia="Times New Roman"/>
                <w:sz w:val="20"/>
              </w:rPr>
              <w:t>1</w:t>
            </w:r>
            <w:r>
              <w:rPr>
                <w:spacing w:val="-13"/>
                <w:sz w:val="20"/>
              </w:rPr>
              <w:t>分，发现一例不符，扣</w:t>
            </w:r>
            <w:r>
              <w:rPr>
                <w:rFonts w:ascii="Times New Roman" w:hAnsi="Times New Roman" w:eastAsia="Times New Roman"/>
                <w:spacing w:val="-5"/>
                <w:sz w:val="20"/>
              </w:rPr>
              <w:t>0.5</w:t>
            </w:r>
            <w:r>
              <w:rPr>
                <w:sz w:val="20"/>
              </w:rPr>
              <w:t>分，扣完为止。</w:t>
            </w:r>
          </w:p>
        </w:tc>
        <w:tc>
          <w:tcPr>
            <w:tcW w:w="2999" w:type="dxa"/>
          </w:tcPr>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spacing w:before="1"/>
              <w:rPr>
                <w:rFonts w:ascii="Times New Roman"/>
                <w:sz w:val="16"/>
              </w:rPr>
            </w:pPr>
          </w:p>
          <w:p>
            <w:pPr>
              <w:pStyle w:val="23"/>
              <w:spacing w:line="292" w:lineRule="auto"/>
              <w:ind w:left="105" w:right="96"/>
              <w:rPr>
                <w:sz w:val="20"/>
              </w:rPr>
            </w:pPr>
            <w:r>
              <w:rPr>
                <w:spacing w:val="-2"/>
                <w:sz w:val="20"/>
              </w:rPr>
              <w:t>单位的资产是否保存完整、使用</w:t>
            </w:r>
            <w:r>
              <w:rPr>
                <w:spacing w:val="-4"/>
                <w:sz w:val="20"/>
              </w:rPr>
              <w:t>合规、配置合理、处置规范、收</w:t>
            </w:r>
            <w:r>
              <w:rPr>
                <w:spacing w:val="-3"/>
                <w:sz w:val="20"/>
              </w:rPr>
              <w:t>入及时足额上缴，用以反映和考</w:t>
            </w:r>
            <w:r>
              <w:rPr>
                <w:sz w:val="20"/>
              </w:rPr>
              <w:t>核单位资产安全运行情况。</w:t>
            </w:r>
          </w:p>
        </w:tc>
        <w:tc>
          <w:tcPr>
            <w:tcW w:w="532" w:type="dxa"/>
            <w:vAlign w:val="center"/>
          </w:tcPr>
          <w:p>
            <w:pPr>
              <w:pStyle w:val="23"/>
              <w:jc w:val="center"/>
              <w:rPr>
                <w:rFonts w:ascii="Times New Roman"/>
                <w:sz w:val="18"/>
                <w:lang w:val="en-US"/>
              </w:rPr>
            </w:pPr>
            <w:r>
              <w:rPr>
                <w:rFonts w:hint="eastAsia" w:ascii="Times New Roman"/>
                <w:sz w:val="18"/>
                <w:lang w:val="en-US"/>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1" w:hRule="atLeast"/>
        </w:trPr>
        <w:tc>
          <w:tcPr>
            <w:tcW w:w="516" w:type="dxa"/>
            <w:vMerge w:val="continue"/>
            <w:tcBorders>
              <w:top w:val="nil"/>
            </w:tcBorders>
          </w:tcPr>
          <w:p>
            <w:pPr>
              <w:rPr>
                <w:sz w:val="2"/>
                <w:szCs w:val="2"/>
              </w:rPr>
            </w:pPr>
          </w:p>
        </w:tc>
        <w:tc>
          <w:tcPr>
            <w:tcW w:w="418" w:type="dxa"/>
            <w:vMerge w:val="continue"/>
            <w:tcBorders>
              <w:top w:val="nil"/>
            </w:tcBorders>
          </w:tcPr>
          <w:p>
            <w:pPr>
              <w:rPr>
                <w:sz w:val="2"/>
                <w:szCs w:val="2"/>
              </w:rPr>
            </w:pPr>
          </w:p>
        </w:tc>
        <w:tc>
          <w:tcPr>
            <w:tcW w:w="677" w:type="dxa"/>
            <w:vMerge w:val="continue"/>
            <w:tcBorders>
              <w:top w:val="nil"/>
            </w:tcBorders>
          </w:tcPr>
          <w:p>
            <w:pPr>
              <w:rPr>
                <w:sz w:val="2"/>
                <w:szCs w:val="2"/>
              </w:rPr>
            </w:pPr>
          </w:p>
        </w:tc>
        <w:tc>
          <w:tcPr>
            <w:tcW w:w="415" w:type="dxa"/>
            <w:vMerge w:val="continue"/>
            <w:tcBorders>
              <w:top w:val="nil"/>
            </w:tcBorders>
          </w:tcPr>
          <w:p>
            <w:pPr>
              <w:rPr>
                <w:sz w:val="2"/>
                <w:szCs w:val="2"/>
              </w:rPr>
            </w:pPr>
          </w:p>
        </w:tc>
        <w:tc>
          <w:tcPr>
            <w:tcW w:w="816" w:type="dxa"/>
          </w:tcPr>
          <w:p>
            <w:pPr>
              <w:pStyle w:val="23"/>
              <w:rPr>
                <w:rFonts w:ascii="Times New Roman"/>
                <w:sz w:val="20"/>
              </w:rPr>
            </w:pPr>
          </w:p>
          <w:p>
            <w:pPr>
              <w:pStyle w:val="23"/>
              <w:rPr>
                <w:rFonts w:ascii="Times New Roman"/>
                <w:sz w:val="20"/>
              </w:rPr>
            </w:pPr>
          </w:p>
          <w:p>
            <w:pPr>
              <w:pStyle w:val="23"/>
              <w:rPr>
                <w:rFonts w:ascii="Times New Roman"/>
                <w:sz w:val="20"/>
              </w:rPr>
            </w:pPr>
          </w:p>
          <w:p>
            <w:pPr>
              <w:pStyle w:val="23"/>
              <w:spacing w:before="10"/>
              <w:rPr>
                <w:rFonts w:ascii="Times New Roman"/>
                <w:sz w:val="16"/>
              </w:rPr>
            </w:pPr>
          </w:p>
          <w:p>
            <w:pPr>
              <w:pStyle w:val="23"/>
              <w:spacing w:line="292" w:lineRule="auto"/>
              <w:ind w:left="105" w:right="99" w:firstLine="100"/>
              <w:rPr>
                <w:sz w:val="20"/>
              </w:rPr>
            </w:pPr>
            <w:r>
              <w:rPr>
                <w:sz w:val="20"/>
              </w:rPr>
              <w:t>固定资产利用率</w:t>
            </w:r>
          </w:p>
        </w:tc>
        <w:tc>
          <w:tcPr>
            <w:tcW w:w="523" w:type="dxa"/>
          </w:tcPr>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spacing w:before="198"/>
              <w:ind w:left="7"/>
              <w:jc w:val="center"/>
              <w:rPr>
                <w:rFonts w:ascii="Times New Roman"/>
                <w:sz w:val="20"/>
              </w:rPr>
            </w:pPr>
            <w:r>
              <w:rPr>
                <w:rFonts w:ascii="Times New Roman"/>
                <w:w w:val="99"/>
                <w:sz w:val="20"/>
              </w:rPr>
              <w:t>1</w:t>
            </w:r>
          </w:p>
        </w:tc>
        <w:tc>
          <w:tcPr>
            <w:tcW w:w="2853" w:type="dxa"/>
          </w:tcPr>
          <w:p>
            <w:pPr>
              <w:pStyle w:val="23"/>
              <w:rPr>
                <w:rFonts w:ascii="Times New Roman"/>
                <w:sz w:val="22"/>
              </w:rPr>
            </w:pPr>
          </w:p>
          <w:p>
            <w:pPr>
              <w:pStyle w:val="23"/>
              <w:rPr>
                <w:rFonts w:ascii="Times New Roman"/>
                <w:sz w:val="22"/>
              </w:rPr>
            </w:pPr>
          </w:p>
          <w:p>
            <w:pPr>
              <w:pStyle w:val="23"/>
              <w:rPr>
                <w:rFonts w:ascii="Times New Roman"/>
                <w:sz w:val="22"/>
              </w:rPr>
            </w:pPr>
          </w:p>
          <w:p>
            <w:pPr>
              <w:pStyle w:val="23"/>
              <w:spacing w:before="5"/>
              <w:rPr>
                <w:rFonts w:ascii="Times New Roman"/>
                <w:sz w:val="24"/>
              </w:rPr>
            </w:pPr>
          </w:p>
          <w:p>
            <w:pPr>
              <w:pStyle w:val="23"/>
              <w:spacing w:line="292" w:lineRule="auto"/>
              <w:ind w:left="105" w:right="1"/>
              <w:rPr>
                <w:sz w:val="20"/>
              </w:rPr>
            </w:pPr>
            <w:r>
              <w:rPr>
                <w:spacing w:val="-7"/>
                <w:sz w:val="20"/>
              </w:rPr>
              <w:t>固定资产利用率</w:t>
            </w:r>
            <w:r>
              <w:rPr>
                <w:rFonts w:ascii="Times New Roman" w:eastAsia="Times New Roman"/>
                <w:sz w:val="20"/>
              </w:rPr>
              <w:t>100%</w:t>
            </w:r>
            <w:r>
              <w:rPr>
                <w:spacing w:val="-27"/>
                <w:sz w:val="20"/>
              </w:rPr>
              <w:t>计</w:t>
            </w:r>
            <w:r>
              <w:rPr>
                <w:rFonts w:ascii="Times New Roman" w:eastAsia="Times New Roman"/>
                <w:sz w:val="20"/>
              </w:rPr>
              <w:t>1</w:t>
            </w:r>
            <w:r>
              <w:rPr>
                <w:sz w:val="20"/>
              </w:rPr>
              <w:t>分，</w:t>
            </w:r>
            <w:r>
              <w:rPr>
                <w:spacing w:val="-16"/>
                <w:sz w:val="20"/>
              </w:rPr>
              <w:t>每下降</w:t>
            </w:r>
            <w:r>
              <w:rPr>
                <w:rFonts w:ascii="Times New Roman" w:eastAsia="Times New Roman"/>
                <w:sz w:val="20"/>
              </w:rPr>
              <w:t>1%</w:t>
            </w:r>
            <w:r>
              <w:rPr>
                <w:spacing w:val="-31"/>
                <w:sz w:val="20"/>
              </w:rPr>
              <w:t>扣</w:t>
            </w:r>
            <w:r>
              <w:rPr>
                <w:rFonts w:ascii="Times New Roman" w:eastAsia="Times New Roman"/>
                <w:sz w:val="20"/>
              </w:rPr>
              <w:t>0.2</w:t>
            </w:r>
            <w:r>
              <w:rPr>
                <w:spacing w:val="-18"/>
                <w:sz w:val="20"/>
              </w:rPr>
              <w:t>分，扣完为止。</w:t>
            </w:r>
          </w:p>
        </w:tc>
        <w:tc>
          <w:tcPr>
            <w:tcW w:w="2999" w:type="dxa"/>
          </w:tcPr>
          <w:p>
            <w:pPr>
              <w:pStyle w:val="23"/>
              <w:rPr>
                <w:rFonts w:ascii="Times New Roman"/>
                <w:sz w:val="20"/>
              </w:rPr>
            </w:pPr>
          </w:p>
          <w:p>
            <w:pPr>
              <w:pStyle w:val="23"/>
              <w:rPr>
                <w:rFonts w:ascii="Times New Roman"/>
                <w:sz w:val="20"/>
              </w:rPr>
            </w:pPr>
          </w:p>
          <w:p>
            <w:pPr>
              <w:pStyle w:val="23"/>
              <w:spacing w:before="4"/>
              <w:rPr>
                <w:rFonts w:ascii="Times New Roman"/>
                <w:sz w:val="23"/>
              </w:rPr>
            </w:pPr>
          </w:p>
          <w:p>
            <w:pPr>
              <w:pStyle w:val="23"/>
              <w:spacing w:line="292" w:lineRule="auto"/>
              <w:ind w:left="105" w:right="96"/>
              <w:rPr>
                <w:sz w:val="20"/>
              </w:rPr>
            </w:pPr>
            <w:r>
              <w:rPr>
                <w:spacing w:val="11"/>
                <w:sz w:val="20"/>
              </w:rPr>
              <w:t>单位实际在用固定资产总额与</w:t>
            </w:r>
            <w:r>
              <w:rPr>
                <w:spacing w:val="-2"/>
                <w:sz w:val="20"/>
              </w:rPr>
              <w:t>所有固定资产总额的比率，用以</w:t>
            </w:r>
            <w:r>
              <w:rPr>
                <w:spacing w:val="11"/>
                <w:sz w:val="20"/>
              </w:rPr>
              <w:t>反映和考核单位固定资产使用</w:t>
            </w:r>
            <w:r>
              <w:rPr>
                <w:spacing w:val="-1"/>
                <w:sz w:val="20"/>
              </w:rPr>
              <w:t>效率程度。</w:t>
            </w:r>
          </w:p>
        </w:tc>
        <w:tc>
          <w:tcPr>
            <w:tcW w:w="532" w:type="dxa"/>
            <w:vAlign w:val="center"/>
          </w:tcPr>
          <w:p>
            <w:pPr>
              <w:pStyle w:val="23"/>
              <w:jc w:val="center"/>
              <w:rPr>
                <w:rFonts w:ascii="Times New Roman"/>
                <w:sz w:val="18"/>
                <w:lang w:val="en-US"/>
              </w:rPr>
            </w:pPr>
            <w:r>
              <w:rPr>
                <w:rFonts w:hint="eastAsia" w:ascii="Times New Roman"/>
                <w:sz w:val="18"/>
                <w:lang w:val="en-US"/>
              </w:rPr>
              <w:t>1</w:t>
            </w:r>
          </w:p>
        </w:tc>
      </w:tr>
    </w:tbl>
    <w:p>
      <w:pPr>
        <w:rPr>
          <w:rFonts w:ascii="Times New Roman"/>
          <w:sz w:val="18"/>
        </w:rPr>
        <w:sectPr>
          <w:pgSz w:w="11910" w:h="16840"/>
          <w:pgMar w:top="1580" w:right="840" w:bottom="1520" w:left="960" w:header="0" w:footer="1322" w:gutter="0"/>
          <w:cols w:space="720" w:num="1"/>
        </w:sectPr>
      </w:pPr>
    </w:p>
    <w:tbl>
      <w:tblPr>
        <w:tblStyle w:val="14"/>
        <w:tblpPr w:leftFromText="180" w:rightFromText="180" w:vertAnchor="text" w:horzAnchor="page" w:tblpX="1080" w:tblpY="201"/>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16"/>
        <w:gridCol w:w="418"/>
        <w:gridCol w:w="677"/>
        <w:gridCol w:w="415"/>
        <w:gridCol w:w="816"/>
        <w:gridCol w:w="523"/>
        <w:gridCol w:w="2853"/>
        <w:gridCol w:w="2999"/>
        <w:gridCol w:w="53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516" w:type="dxa"/>
          </w:tcPr>
          <w:p>
            <w:pPr>
              <w:pStyle w:val="23"/>
              <w:spacing w:before="25" w:line="292" w:lineRule="auto"/>
              <w:ind w:left="155" w:right="149"/>
              <w:rPr>
                <w:rFonts w:ascii="黑体" w:eastAsia="黑体"/>
                <w:sz w:val="20"/>
              </w:rPr>
            </w:pPr>
            <w:r>
              <w:rPr>
                <w:rFonts w:hint="eastAsia" w:ascii="黑体" w:eastAsia="黑体"/>
                <w:sz w:val="20"/>
              </w:rPr>
              <w:t>一级指</w:t>
            </w:r>
          </w:p>
          <w:p>
            <w:pPr>
              <w:pStyle w:val="23"/>
              <w:spacing w:line="254" w:lineRule="exact"/>
              <w:ind w:left="155"/>
              <w:rPr>
                <w:rFonts w:ascii="黑体" w:eastAsia="黑体"/>
                <w:sz w:val="20"/>
              </w:rPr>
            </w:pPr>
            <w:r>
              <w:rPr>
                <w:rFonts w:hint="eastAsia" w:ascii="黑体" w:eastAsia="黑体"/>
                <w:w w:val="99"/>
                <w:sz w:val="20"/>
              </w:rPr>
              <w:t>标</w:t>
            </w:r>
          </w:p>
        </w:tc>
        <w:tc>
          <w:tcPr>
            <w:tcW w:w="418" w:type="dxa"/>
          </w:tcPr>
          <w:p>
            <w:pPr>
              <w:pStyle w:val="23"/>
              <w:spacing w:before="3"/>
              <w:rPr>
                <w:rFonts w:ascii="Times New Roman"/>
                <w:sz w:val="29"/>
              </w:rPr>
            </w:pPr>
          </w:p>
          <w:p>
            <w:pPr>
              <w:pStyle w:val="23"/>
              <w:spacing w:before="1" w:line="292" w:lineRule="auto"/>
              <w:ind w:left="107" w:right="99"/>
              <w:rPr>
                <w:rFonts w:ascii="黑体" w:eastAsia="黑体"/>
                <w:sz w:val="20"/>
              </w:rPr>
            </w:pPr>
            <w:r>
              <w:rPr>
                <w:rFonts w:hint="eastAsia" w:ascii="黑体" w:eastAsia="黑体"/>
                <w:sz w:val="20"/>
              </w:rPr>
              <w:t>分值</w:t>
            </w:r>
          </w:p>
        </w:tc>
        <w:tc>
          <w:tcPr>
            <w:tcW w:w="677" w:type="dxa"/>
          </w:tcPr>
          <w:p>
            <w:pPr>
              <w:pStyle w:val="23"/>
              <w:spacing w:before="3"/>
              <w:rPr>
                <w:rFonts w:ascii="Times New Roman"/>
                <w:sz w:val="29"/>
              </w:rPr>
            </w:pPr>
          </w:p>
          <w:p>
            <w:pPr>
              <w:pStyle w:val="23"/>
              <w:spacing w:before="1" w:line="292" w:lineRule="auto"/>
              <w:ind w:left="136" w:right="130"/>
              <w:rPr>
                <w:rFonts w:ascii="黑体" w:eastAsia="黑体"/>
                <w:sz w:val="20"/>
              </w:rPr>
            </w:pPr>
            <w:r>
              <w:rPr>
                <w:rFonts w:hint="eastAsia" w:ascii="黑体" w:eastAsia="黑体"/>
                <w:sz w:val="20"/>
              </w:rPr>
              <w:t>二级指标</w:t>
            </w:r>
          </w:p>
        </w:tc>
        <w:tc>
          <w:tcPr>
            <w:tcW w:w="415" w:type="dxa"/>
          </w:tcPr>
          <w:p>
            <w:pPr>
              <w:pStyle w:val="23"/>
              <w:spacing w:before="3"/>
              <w:rPr>
                <w:rFonts w:ascii="Times New Roman"/>
                <w:sz w:val="29"/>
              </w:rPr>
            </w:pPr>
          </w:p>
          <w:p>
            <w:pPr>
              <w:pStyle w:val="23"/>
              <w:spacing w:before="1" w:line="292" w:lineRule="auto"/>
              <w:ind w:left="104" w:right="99"/>
              <w:rPr>
                <w:rFonts w:ascii="黑体" w:eastAsia="黑体"/>
                <w:sz w:val="20"/>
              </w:rPr>
            </w:pPr>
            <w:r>
              <w:rPr>
                <w:rFonts w:hint="eastAsia" w:ascii="黑体" w:eastAsia="黑体"/>
                <w:sz w:val="20"/>
              </w:rPr>
              <w:t>分值</w:t>
            </w:r>
          </w:p>
        </w:tc>
        <w:tc>
          <w:tcPr>
            <w:tcW w:w="816" w:type="dxa"/>
          </w:tcPr>
          <w:p>
            <w:pPr>
              <w:pStyle w:val="23"/>
              <w:spacing w:before="3"/>
              <w:rPr>
                <w:rFonts w:ascii="Times New Roman"/>
                <w:sz w:val="29"/>
              </w:rPr>
            </w:pPr>
          </w:p>
          <w:p>
            <w:pPr>
              <w:pStyle w:val="23"/>
              <w:spacing w:before="1" w:line="292" w:lineRule="auto"/>
              <w:ind w:left="205" w:right="201"/>
              <w:rPr>
                <w:rFonts w:ascii="黑体" w:eastAsia="黑体"/>
                <w:sz w:val="20"/>
              </w:rPr>
            </w:pPr>
            <w:r>
              <w:rPr>
                <w:rFonts w:hint="eastAsia" w:ascii="黑体" w:eastAsia="黑体"/>
                <w:sz w:val="20"/>
              </w:rPr>
              <w:t>三级指标</w:t>
            </w:r>
          </w:p>
        </w:tc>
        <w:tc>
          <w:tcPr>
            <w:tcW w:w="523" w:type="dxa"/>
          </w:tcPr>
          <w:p>
            <w:pPr>
              <w:pStyle w:val="23"/>
              <w:spacing w:before="3"/>
              <w:rPr>
                <w:rFonts w:ascii="Times New Roman"/>
                <w:sz w:val="29"/>
              </w:rPr>
            </w:pPr>
          </w:p>
          <w:p>
            <w:pPr>
              <w:pStyle w:val="23"/>
              <w:spacing w:before="1" w:line="292" w:lineRule="auto"/>
              <w:ind w:left="160" w:right="151"/>
              <w:rPr>
                <w:rFonts w:ascii="黑体" w:eastAsia="黑体"/>
                <w:sz w:val="20"/>
              </w:rPr>
            </w:pPr>
            <w:r>
              <w:rPr>
                <w:rFonts w:hint="eastAsia" w:ascii="黑体" w:eastAsia="黑体"/>
                <w:sz w:val="20"/>
              </w:rPr>
              <w:t>分值</w:t>
            </w:r>
          </w:p>
        </w:tc>
        <w:tc>
          <w:tcPr>
            <w:tcW w:w="2853" w:type="dxa"/>
          </w:tcPr>
          <w:p>
            <w:pPr>
              <w:pStyle w:val="23"/>
              <w:rPr>
                <w:rFonts w:ascii="Times New Roman"/>
                <w:sz w:val="20"/>
              </w:rPr>
            </w:pPr>
          </w:p>
          <w:p>
            <w:pPr>
              <w:pStyle w:val="23"/>
              <w:spacing w:before="10"/>
              <w:rPr>
                <w:rFonts w:ascii="Times New Roman"/>
                <w:sz w:val="22"/>
              </w:rPr>
            </w:pPr>
          </w:p>
          <w:p>
            <w:pPr>
              <w:pStyle w:val="23"/>
              <w:ind w:left="1003" w:right="999"/>
              <w:jc w:val="center"/>
              <w:rPr>
                <w:rFonts w:ascii="黑体" w:eastAsia="黑体"/>
                <w:sz w:val="20"/>
              </w:rPr>
            </w:pPr>
            <w:r>
              <w:rPr>
                <w:rFonts w:hint="eastAsia" w:ascii="黑体" w:eastAsia="黑体"/>
                <w:sz w:val="20"/>
              </w:rPr>
              <w:t>评价标准</w:t>
            </w:r>
          </w:p>
        </w:tc>
        <w:tc>
          <w:tcPr>
            <w:tcW w:w="2999" w:type="dxa"/>
          </w:tcPr>
          <w:p>
            <w:pPr>
              <w:pStyle w:val="23"/>
              <w:rPr>
                <w:rFonts w:ascii="Times New Roman"/>
                <w:sz w:val="20"/>
              </w:rPr>
            </w:pPr>
          </w:p>
          <w:p>
            <w:pPr>
              <w:pStyle w:val="23"/>
              <w:spacing w:before="10"/>
              <w:rPr>
                <w:rFonts w:ascii="Times New Roman"/>
                <w:sz w:val="22"/>
              </w:rPr>
            </w:pPr>
          </w:p>
          <w:p>
            <w:pPr>
              <w:pStyle w:val="23"/>
              <w:ind w:left="1076" w:right="1072"/>
              <w:jc w:val="center"/>
              <w:rPr>
                <w:rFonts w:ascii="黑体" w:eastAsia="黑体"/>
                <w:sz w:val="20"/>
              </w:rPr>
            </w:pPr>
            <w:r>
              <w:rPr>
                <w:rFonts w:hint="eastAsia" w:ascii="黑体" w:eastAsia="黑体"/>
                <w:sz w:val="20"/>
              </w:rPr>
              <w:t>指标说明</w:t>
            </w:r>
          </w:p>
        </w:tc>
        <w:tc>
          <w:tcPr>
            <w:tcW w:w="532" w:type="dxa"/>
          </w:tcPr>
          <w:p>
            <w:pPr>
              <w:pStyle w:val="23"/>
              <w:spacing w:before="3"/>
              <w:rPr>
                <w:rFonts w:ascii="Times New Roman"/>
                <w:sz w:val="29"/>
              </w:rPr>
            </w:pPr>
          </w:p>
          <w:p>
            <w:pPr>
              <w:pStyle w:val="23"/>
              <w:spacing w:before="1" w:line="292" w:lineRule="auto"/>
              <w:ind w:left="166" w:right="154"/>
              <w:rPr>
                <w:rFonts w:ascii="黑体" w:eastAsia="黑体"/>
                <w:sz w:val="20"/>
              </w:rPr>
            </w:pPr>
            <w:r>
              <w:rPr>
                <w:rFonts w:hint="eastAsia" w:ascii="黑体" w:eastAsia="黑体"/>
                <w:sz w:val="20"/>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0" w:hRule="atLeast"/>
        </w:trPr>
        <w:tc>
          <w:tcPr>
            <w:tcW w:w="516" w:type="dxa"/>
            <w:vMerge w:val="restart"/>
          </w:tcPr>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spacing w:before="2"/>
              <w:rPr>
                <w:rFonts w:ascii="Times New Roman"/>
                <w:sz w:val="24"/>
              </w:rPr>
            </w:pPr>
          </w:p>
          <w:p>
            <w:pPr>
              <w:pStyle w:val="23"/>
              <w:spacing w:line="292" w:lineRule="auto"/>
              <w:ind w:left="155" w:right="149"/>
              <w:rPr>
                <w:sz w:val="20"/>
              </w:rPr>
            </w:pPr>
            <w:r>
              <w:rPr>
                <w:sz w:val="20"/>
              </w:rPr>
              <w:t>产出及效率</w:t>
            </w:r>
          </w:p>
        </w:tc>
        <w:tc>
          <w:tcPr>
            <w:tcW w:w="418" w:type="dxa"/>
            <w:vMerge w:val="restart"/>
          </w:tcPr>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rPr>
                <w:rFonts w:ascii="Times New Roman"/>
                <w:sz w:val="22"/>
              </w:rPr>
            </w:pPr>
          </w:p>
          <w:p>
            <w:pPr>
              <w:pStyle w:val="23"/>
              <w:spacing w:before="7"/>
              <w:rPr>
                <w:rFonts w:ascii="Times New Roman"/>
                <w:sz w:val="29"/>
              </w:rPr>
            </w:pPr>
          </w:p>
          <w:p>
            <w:pPr>
              <w:pStyle w:val="23"/>
              <w:ind w:left="107"/>
              <w:rPr>
                <w:rFonts w:ascii="Times New Roman"/>
                <w:sz w:val="20"/>
              </w:rPr>
            </w:pPr>
            <w:r>
              <w:rPr>
                <w:rFonts w:ascii="Times New Roman"/>
                <w:sz w:val="20"/>
              </w:rPr>
              <w:t>26</w:t>
            </w:r>
          </w:p>
        </w:tc>
        <w:tc>
          <w:tcPr>
            <w:tcW w:w="677" w:type="dxa"/>
          </w:tcPr>
          <w:p>
            <w:pPr>
              <w:pStyle w:val="23"/>
              <w:rPr>
                <w:rFonts w:ascii="Times New Roman"/>
                <w:sz w:val="20"/>
              </w:rPr>
            </w:pPr>
          </w:p>
          <w:p>
            <w:pPr>
              <w:pStyle w:val="23"/>
              <w:rPr>
                <w:rFonts w:ascii="Times New Roman"/>
                <w:sz w:val="20"/>
              </w:rPr>
            </w:pPr>
          </w:p>
          <w:p>
            <w:pPr>
              <w:pStyle w:val="23"/>
              <w:spacing w:before="4"/>
              <w:rPr>
                <w:rFonts w:ascii="Times New Roman"/>
                <w:sz w:val="18"/>
              </w:rPr>
            </w:pPr>
          </w:p>
          <w:p>
            <w:pPr>
              <w:pStyle w:val="23"/>
              <w:spacing w:line="292" w:lineRule="auto"/>
              <w:ind w:left="136" w:right="130"/>
              <w:rPr>
                <w:sz w:val="20"/>
              </w:rPr>
            </w:pPr>
            <w:r>
              <w:rPr>
                <w:sz w:val="20"/>
              </w:rPr>
              <w:t>履职产出</w:t>
            </w:r>
          </w:p>
        </w:tc>
        <w:tc>
          <w:tcPr>
            <w:tcW w:w="415" w:type="dxa"/>
          </w:tcPr>
          <w:p>
            <w:pPr>
              <w:pStyle w:val="23"/>
              <w:rPr>
                <w:rFonts w:ascii="Times New Roman"/>
                <w:sz w:val="22"/>
              </w:rPr>
            </w:pPr>
          </w:p>
          <w:p>
            <w:pPr>
              <w:pStyle w:val="23"/>
              <w:rPr>
                <w:rFonts w:ascii="Times New Roman"/>
                <w:sz w:val="22"/>
              </w:rPr>
            </w:pPr>
          </w:p>
          <w:p>
            <w:pPr>
              <w:pStyle w:val="23"/>
              <w:rPr>
                <w:rFonts w:ascii="Times New Roman"/>
                <w:sz w:val="29"/>
              </w:rPr>
            </w:pPr>
          </w:p>
          <w:p>
            <w:pPr>
              <w:pStyle w:val="23"/>
              <w:spacing w:before="1"/>
              <w:ind w:left="4"/>
              <w:jc w:val="center"/>
              <w:rPr>
                <w:rFonts w:ascii="Times New Roman"/>
                <w:sz w:val="20"/>
              </w:rPr>
            </w:pPr>
            <w:r>
              <w:rPr>
                <w:rFonts w:ascii="Times New Roman"/>
                <w:w w:val="99"/>
                <w:sz w:val="20"/>
              </w:rPr>
              <w:t>8</w:t>
            </w:r>
          </w:p>
        </w:tc>
        <w:tc>
          <w:tcPr>
            <w:tcW w:w="816" w:type="dxa"/>
          </w:tcPr>
          <w:p>
            <w:pPr>
              <w:pStyle w:val="23"/>
              <w:rPr>
                <w:rFonts w:ascii="Times New Roman"/>
                <w:sz w:val="20"/>
              </w:rPr>
            </w:pPr>
          </w:p>
          <w:p>
            <w:pPr>
              <w:pStyle w:val="23"/>
              <w:rPr>
                <w:rFonts w:ascii="Times New Roman"/>
                <w:sz w:val="20"/>
              </w:rPr>
            </w:pPr>
          </w:p>
          <w:p>
            <w:pPr>
              <w:pStyle w:val="23"/>
              <w:spacing w:before="4"/>
              <w:rPr>
                <w:rFonts w:ascii="Times New Roman"/>
                <w:sz w:val="18"/>
              </w:rPr>
            </w:pPr>
          </w:p>
          <w:p>
            <w:pPr>
              <w:pStyle w:val="23"/>
              <w:spacing w:line="292" w:lineRule="auto"/>
              <w:ind w:left="205" w:right="201"/>
              <w:rPr>
                <w:sz w:val="20"/>
              </w:rPr>
            </w:pPr>
            <w:r>
              <w:rPr>
                <w:sz w:val="20"/>
              </w:rPr>
              <w:t>产出指标</w:t>
            </w:r>
          </w:p>
        </w:tc>
        <w:tc>
          <w:tcPr>
            <w:tcW w:w="523" w:type="dxa"/>
          </w:tcPr>
          <w:p>
            <w:pPr>
              <w:pStyle w:val="23"/>
              <w:rPr>
                <w:rFonts w:ascii="Times New Roman"/>
                <w:sz w:val="22"/>
              </w:rPr>
            </w:pPr>
          </w:p>
          <w:p>
            <w:pPr>
              <w:pStyle w:val="23"/>
              <w:rPr>
                <w:rFonts w:ascii="Times New Roman"/>
                <w:sz w:val="22"/>
              </w:rPr>
            </w:pPr>
          </w:p>
          <w:p>
            <w:pPr>
              <w:pStyle w:val="23"/>
              <w:rPr>
                <w:rFonts w:ascii="Times New Roman"/>
                <w:sz w:val="29"/>
              </w:rPr>
            </w:pPr>
          </w:p>
          <w:p>
            <w:pPr>
              <w:pStyle w:val="23"/>
              <w:spacing w:before="1"/>
              <w:ind w:left="7"/>
              <w:jc w:val="center"/>
              <w:rPr>
                <w:rFonts w:ascii="Times New Roman"/>
                <w:sz w:val="20"/>
              </w:rPr>
            </w:pPr>
            <w:r>
              <w:rPr>
                <w:rFonts w:ascii="Times New Roman"/>
                <w:w w:val="99"/>
                <w:sz w:val="20"/>
              </w:rPr>
              <w:t>8</w:t>
            </w:r>
          </w:p>
        </w:tc>
        <w:tc>
          <w:tcPr>
            <w:tcW w:w="5852" w:type="dxa"/>
            <w:gridSpan w:val="2"/>
          </w:tcPr>
          <w:p>
            <w:pPr>
              <w:pStyle w:val="23"/>
              <w:spacing w:before="7"/>
              <w:rPr>
                <w:rFonts w:ascii="Times New Roman"/>
                <w:sz w:val="17"/>
              </w:rPr>
            </w:pPr>
          </w:p>
          <w:p>
            <w:pPr>
              <w:pStyle w:val="23"/>
              <w:spacing w:line="292" w:lineRule="auto"/>
              <w:ind w:left="105" w:right="92"/>
              <w:rPr>
                <w:sz w:val="20"/>
              </w:rPr>
            </w:pPr>
            <w:r>
              <w:rPr>
                <w:sz w:val="20"/>
              </w:rPr>
              <w:t>各单位根据其履职主要工作，结合绩效目标和项目性质，对重点工作计划完成数、产出的质量、产出的时效性和有关成本控制情况，各部门根据实际情况有选择的进行设置，并将其细化为相应</w:t>
            </w:r>
            <w:r>
              <w:rPr>
                <w:spacing w:val="-4"/>
                <w:sz w:val="20"/>
              </w:rPr>
              <w:t>的个性化指标。完成绩效目标得满分，只实现</w:t>
            </w:r>
            <w:r>
              <w:rPr>
                <w:rFonts w:ascii="Times New Roman" w:eastAsia="Times New Roman"/>
                <w:sz w:val="20"/>
              </w:rPr>
              <w:t>70%</w:t>
            </w:r>
            <w:r>
              <w:rPr>
                <w:sz w:val="20"/>
              </w:rPr>
              <w:t>（含</w:t>
            </w:r>
            <w:r>
              <w:rPr>
                <w:spacing w:val="-3"/>
                <w:sz w:val="20"/>
              </w:rPr>
              <w:t>）</w:t>
            </w:r>
            <w:r>
              <w:rPr>
                <w:sz w:val="20"/>
              </w:rPr>
              <w:t>以上得</w:t>
            </w:r>
            <w:r>
              <w:rPr>
                <w:rFonts w:ascii="Times New Roman" w:eastAsia="Times New Roman"/>
                <w:sz w:val="20"/>
              </w:rPr>
              <w:t>4</w:t>
            </w:r>
            <w:r>
              <w:rPr>
                <w:spacing w:val="-2"/>
                <w:sz w:val="20"/>
              </w:rPr>
              <w:t>分，</w:t>
            </w:r>
            <w:r>
              <w:rPr>
                <w:rFonts w:ascii="Times New Roman" w:eastAsia="Times New Roman"/>
                <w:sz w:val="20"/>
              </w:rPr>
              <w:t>70%</w:t>
            </w:r>
            <w:r>
              <w:rPr>
                <w:sz w:val="20"/>
              </w:rPr>
              <w:t>以下不得分。</w:t>
            </w:r>
          </w:p>
        </w:tc>
        <w:tc>
          <w:tcPr>
            <w:tcW w:w="532" w:type="dxa"/>
            <w:vAlign w:val="center"/>
          </w:tcPr>
          <w:p>
            <w:pPr>
              <w:pStyle w:val="23"/>
              <w:jc w:val="center"/>
              <w:rPr>
                <w:rFonts w:ascii="Times New Roman"/>
                <w:sz w:val="18"/>
                <w:lang w:val="en-US"/>
              </w:rPr>
            </w:pPr>
            <w:r>
              <w:rPr>
                <w:rFonts w:hint="eastAsia" w:ascii="Times New Roman"/>
                <w:sz w:val="18"/>
                <w:lang w:val="en-US"/>
              </w:rPr>
              <w:t>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18" w:hRule="atLeast"/>
        </w:trPr>
        <w:tc>
          <w:tcPr>
            <w:tcW w:w="516" w:type="dxa"/>
            <w:vMerge w:val="continue"/>
            <w:tcBorders>
              <w:top w:val="nil"/>
            </w:tcBorders>
          </w:tcPr>
          <w:p>
            <w:pPr>
              <w:rPr>
                <w:sz w:val="2"/>
                <w:szCs w:val="2"/>
              </w:rPr>
            </w:pPr>
            <w:r>
              <w:rPr>
                <w:rFonts w:hint="eastAsia"/>
                <w:sz w:val="2"/>
                <w:szCs w:val="2"/>
              </w:rPr>
              <w:t>4</w:t>
            </w:r>
          </w:p>
        </w:tc>
        <w:tc>
          <w:tcPr>
            <w:tcW w:w="418" w:type="dxa"/>
            <w:vMerge w:val="continue"/>
            <w:tcBorders>
              <w:top w:val="nil"/>
            </w:tcBorders>
          </w:tcPr>
          <w:p>
            <w:pPr>
              <w:rPr>
                <w:sz w:val="2"/>
                <w:szCs w:val="2"/>
              </w:rPr>
            </w:pPr>
          </w:p>
        </w:tc>
        <w:tc>
          <w:tcPr>
            <w:tcW w:w="677" w:type="dxa"/>
            <w:vMerge w:val="restart"/>
          </w:tcPr>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spacing w:before="4"/>
              <w:rPr>
                <w:rFonts w:ascii="Times New Roman"/>
              </w:rPr>
            </w:pPr>
          </w:p>
          <w:p>
            <w:pPr>
              <w:pStyle w:val="23"/>
              <w:spacing w:before="1" w:line="292" w:lineRule="auto"/>
              <w:ind w:left="136" w:right="130"/>
              <w:rPr>
                <w:sz w:val="20"/>
              </w:rPr>
            </w:pPr>
            <w:r>
              <w:rPr>
                <w:sz w:val="20"/>
              </w:rPr>
              <w:t>履职效益</w:t>
            </w:r>
          </w:p>
        </w:tc>
        <w:tc>
          <w:tcPr>
            <w:tcW w:w="415" w:type="dxa"/>
            <w:vMerge w:val="restart"/>
          </w:tcPr>
          <w:p>
            <w:pPr>
              <w:pStyle w:val="23"/>
              <w:rPr>
                <w:rFonts w:ascii="Times New Roman"/>
                <w:sz w:val="22"/>
              </w:rPr>
            </w:pPr>
          </w:p>
          <w:p>
            <w:pPr>
              <w:pStyle w:val="23"/>
              <w:rPr>
                <w:rFonts w:ascii="Times New Roman"/>
                <w:sz w:val="22"/>
              </w:rPr>
            </w:pPr>
          </w:p>
          <w:p>
            <w:pPr>
              <w:pStyle w:val="23"/>
              <w:rPr>
                <w:rFonts w:ascii="Times New Roman"/>
                <w:sz w:val="22"/>
              </w:rPr>
            </w:pPr>
          </w:p>
          <w:p>
            <w:pPr>
              <w:pStyle w:val="23"/>
              <w:spacing w:before="9"/>
              <w:rPr>
                <w:rFonts w:ascii="Times New Roman"/>
                <w:sz w:val="29"/>
              </w:rPr>
            </w:pPr>
          </w:p>
          <w:p>
            <w:pPr>
              <w:pStyle w:val="23"/>
              <w:ind w:left="4"/>
              <w:jc w:val="center"/>
              <w:rPr>
                <w:rFonts w:ascii="Times New Roman"/>
                <w:sz w:val="20"/>
              </w:rPr>
            </w:pPr>
            <w:r>
              <w:rPr>
                <w:rFonts w:ascii="Times New Roman"/>
                <w:w w:val="99"/>
                <w:sz w:val="20"/>
              </w:rPr>
              <w:t>6</w:t>
            </w:r>
          </w:p>
        </w:tc>
        <w:tc>
          <w:tcPr>
            <w:tcW w:w="816" w:type="dxa"/>
          </w:tcPr>
          <w:p>
            <w:pPr>
              <w:pStyle w:val="23"/>
              <w:spacing w:before="1"/>
              <w:rPr>
                <w:rFonts w:ascii="Times New Roman"/>
                <w:sz w:val="28"/>
              </w:rPr>
            </w:pPr>
          </w:p>
          <w:p>
            <w:pPr>
              <w:pStyle w:val="23"/>
              <w:spacing w:line="292" w:lineRule="auto"/>
              <w:ind w:left="205" w:right="201"/>
              <w:rPr>
                <w:sz w:val="20"/>
              </w:rPr>
            </w:pPr>
            <w:r>
              <w:rPr>
                <w:sz w:val="20"/>
              </w:rPr>
              <w:t>经济效益</w:t>
            </w:r>
          </w:p>
        </w:tc>
        <w:tc>
          <w:tcPr>
            <w:tcW w:w="523" w:type="dxa"/>
            <w:vMerge w:val="restart"/>
          </w:tcPr>
          <w:p>
            <w:pPr>
              <w:pStyle w:val="23"/>
              <w:rPr>
                <w:rFonts w:ascii="Times New Roman"/>
                <w:sz w:val="22"/>
              </w:rPr>
            </w:pPr>
          </w:p>
          <w:p>
            <w:pPr>
              <w:pStyle w:val="23"/>
              <w:rPr>
                <w:rFonts w:ascii="Times New Roman"/>
                <w:sz w:val="22"/>
              </w:rPr>
            </w:pPr>
          </w:p>
          <w:p>
            <w:pPr>
              <w:pStyle w:val="23"/>
              <w:rPr>
                <w:rFonts w:ascii="Times New Roman"/>
                <w:sz w:val="22"/>
              </w:rPr>
            </w:pPr>
          </w:p>
          <w:p>
            <w:pPr>
              <w:pStyle w:val="23"/>
              <w:spacing w:before="9"/>
              <w:rPr>
                <w:rFonts w:ascii="Times New Roman"/>
                <w:sz w:val="29"/>
              </w:rPr>
            </w:pPr>
          </w:p>
          <w:p>
            <w:pPr>
              <w:pStyle w:val="23"/>
              <w:ind w:left="7"/>
              <w:jc w:val="center"/>
              <w:rPr>
                <w:rFonts w:ascii="Times New Roman"/>
                <w:sz w:val="20"/>
              </w:rPr>
            </w:pPr>
            <w:r>
              <w:rPr>
                <w:rFonts w:ascii="Times New Roman"/>
                <w:w w:val="99"/>
                <w:sz w:val="20"/>
              </w:rPr>
              <w:t>6</w:t>
            </w:r>
          </w:p>
        </w:tc>
        <w:tc>
          <w:tcPr>
            <w:tcW w:w="5852" w:type="dxa"/>
            <w:gridSpan w:val="2"/>
            <w:vMerge w:val="restart"/>
          </w:tcPr>
          <w:p>
            <w:pPr>
              <w:pStyle w:val="23"/>
              <w:rPr>
                <w:rFonts w:ascii="Times New Roman"/>
                <w:sz w:val="22"/>
              </w:rPr>
            </w:pPr>
          </w:p>
          <w:p>
            <w:pPr>
              <w:pStyle w:val="23"/>
              <w:spacing w:before="11"/>
              <w:rPr>
                <w:rFonts w:ascii="Times New Roman"/>
                <w:sz w:val="31"/>
              </w:rPr>
            </w:pPr>
          </w:p>
          <w:p>
            <w:pPr>
              <w:pStyle w:val="23"/>
              <w:spacing w:line="292" w:lineRule="auto"/>
              <w:ind w:left="105" w:right="90"/>
              <w:rPr>
                <w:sz w:val="20"/>
              </w:rPr>
            </w:pPr>
            <w:r>
              <w:rPr>
                <w:sz w:val="20"/>
              </w:rPr>
              <w:t>此两项指标为设置部门整体支出绩效评价指标时必须考虑的共性要素，可根据部门实际情况有选择的进行设置，并将其细化为相</w:t>
            </w:r>
            <w:r>
              <w:rPr>
                <w:spacing w:val="-4"/>
                <w:sz w:val="20"/>
              </w:rPr>
              <w:t>应的个性化指标。完成绩效目标得满分，只实现</w:t>
            </w:r>
            <w:r>
              <w:rPr>
                <w:rFonts w:ascii="Times New Roman" w:eastAsia="Times New Roman"/>
                <w:sz w:val="20"/>
              </w:rPr>
              <w:t>70%</w:t>
            </w:r>
            <w:r>
              <w:rPr>
                <w:sz w:val="20"/>
              </w:rPr>
              <w:t>（含）以上</w:t>
            </w:r>
            <w:r>
              <w:rPr>
                <w:spacing w:val="-24"/>
                <w:sz w:val="20"/>
              </w:rPr>
              <w:t>得</w:t>
            </w:r>
            <w:r>
              <w:rPr>
                <w:rFonts w:ascii="Times New Roman" w:eastAsia="Times New Roman"/>
                <w:sz w:val="20"/>
              </w:rPr>
              <w:t>3</w:t>
            </w:r>
            <w:r>
              <w:rPr>
                <w:sz w:val="20"/>
              </w:rPr>
              <w:t>分，</w:t>
            </w:r>
            <w:r>
              <w:rPr>
                <w:rFonts w:ascii="Times New Roman" w:eastAsia="Times New Roman"/>
                <w:sz w:val="20"/>
              </w:rPr>
              <w:t>70%</w:t>
            </w:r>
            <w:r>
              <w:rPr>
                <w:sz w:val="20"/>
              </w:rPr>
              <w:t>以下不得分。</w:t>
            </w:r>
          </w:p>
        </w:tc>
        <w:tc>
          <w:tcPr>
            <w:tcW w:w="532" w:type="dxa"/>
            <w:vMerge w:val="restart"/>
            <w:vAlign w:val="center"/>
          </w:tcPr>
          <w:p>
            <w:pPr>
              <w:pStyle w:val="23"/>
              <w:jc w:val="center"/>
              <w:rPr>
                <w:rFonts w:ascii="Times New Roman"/>
                <w:sz w:val="18"/>
                <w:lang w:val="en-US"/>
              </w:rPr>
            </w:pPr>
            <w:r>
              <w:rPr>
                <w:rFonts w:hint="eastAsia" w:ascii="Times New Roman"/>
                <w:sz w:val="18"/>
                <w:lang w:val="en-US"/>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6" w:hRule="atLeast"/>
        </w:trPr>
        <w:tc>
          <w:tcPr>
            <w:tcW w:w="516" w:type="dxa"/>
            <w:vMerge w:val="continue"/>
            <w:tcBorders>
              <w:top w:val="nil"/>
            </w:tcBorders>
          </w:tcPr>
          <w:p>
            <w:pPr>
              <w:rPr>
                <w:sz w:val="2"/>
                <w:szCs w:val="2"/>
              </w:rPr>
            </w:pPr>
          </w:p>
        </w:tc>
        <w:tc>
          <w:tcPr>
            <w:tcW w:w="418" w:type="dxa"/>
            <w:vMerge w:val="continue"/>
            <w:tcBorders>
              <w:top w:val="nil"/>
            </w:tcBorders>
          </w:tcPr>
          <w:p>
            <w:pPr>
              <w:rPr>
                <w:sz w:val="2"/>
                <w:szCs w:val="2"/>
              </w:rPr>
            </w:pPr>
          </w:p>
        </w:tc>
        <w:tc>
          <w:tcPr>
            <w:tcW w:w="677" w:type="dxa"/>
            <w:vMerge w:val="continue"/>
            <w:tcBorders>
              <w:top w:val="nil"/>
            </w:tcBorders>
          </w:tcPr>
          <w:p>
            <w:pPr>
              <w:rPr>
                <w:sz w:val="2"/>
                <w:szCs w:val="2"/>
              </w:rPr>
            </w:pPr>
          </w:p>
        </w:tc>
        <w:tc>
          <w:tcPr>
            <w:tcW w:w="415" w:type="dxa"/>
            <w:vMerge w:val="continue"/>
            <w:tcBorders>
              <w:top w:val="nil"/>
            </w:tcBorders>
          </w:tcPr>
          <w:p>
            <w:pPr>
              <w:rPr>
                <w:sz w:val="2"/>
                <w:szCs w:val="2"/>
              </w:rPr>
            </w:pPr>
          </w:p>
        </w:tc>
        <w:tc>
          <w:tcPr>
            <w:tcW w:w="816" w:type="dxa"/>
          </w:tcPr>
          <w:p>
            <w:pPr>
              <w:pStyle w:val="23"/>
              <w:spacing w:before="7"/>
              <w:rPr>
                <w:rFonts w:ascii="Times New Roman"/>
                <w:sz w:val="27"/>
              </w:rPr>
            </w:pPr>
          </w:p>
          <w:p>
            <w:pPr>
              <w:pStyle w:val="23"/>
              <w:spacing w:line="292" w:lineRule="auto"/>
              <w:ind w:left="205" w:right="201"/>
              <w:rPr>
                <w:sz w:val="20"/>
              </w:rPr>
            </w:pPr>
            <w:r>
              <w:rPr>
                <w:sz w:val="20"/>
              </w:rPr>
              <w:t>社会效益</w:t>
            </w:r>
          </w:p>
        </w:tc>
        <w:tc>
          <w:tcPr>
            <w:tcW w:w="523" w:type="dxa"/>
            <w:vMerge w:val="continue"/>
            <w:tcBorders>
              <w:top w:val="nil"/>
            </w:tcBorders>
          </w:tcPr>
          <w:p>
            <w:pPr>
              <w:rPr>
                <w:sz w:val="2"/>
                <w:szCs w:val="2"/>
              </w:rPr>
            </w:pPr>
          </w:p>
        </w:tc>
        <w:tc>
          <w:tcPr>
            <w:tcW w:w="5852" w:type="dxa"/>
            <w:gridSpan w:val="2"/>
            <w:vMerge w:val="continue"/>
            <w:tcBorders>
              <w:top w:val="nil"/>
            </w:tcBorders>
          </w:tcPr>
          <w:p>
            <w:pPr>
              <w:rPr>
                <w:sz w:val="2"/>
                <w:szCs w:val="2"/>
              </w:rPr>
            </w:pPr>
          </w:p>
        </w:tc>
        <w:tc>
          <w:tcPr>
            <w:tcW w:w="532" w:type="dxa"/>
            <w:vMerge w:val="continue"/>
            <w:tcBorders>
              <w:top w:val="nil"/>
            </w:tcBorders>
            <w:vAlign w:val="center"/>
          </w:tcPr>
          <w:p>
            <w:pPr>
              <w:jc w:val="cente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32" w:hRule="atLeast"/>
        </w:trPr>
        <w:tc>
          <w:tcPr>
            <w:tcW w:w="516" w:type="dxa"/>
            <w:vMerge w:val="continue"/>
            <w:tcBorders>
              <w:top w:val="nil"/>
            </w:tcBorders>
          </w:tcPr>
          <w:p>
            <w:pPr>
              <w:rPr>
                <w:sz w:val="2"/>
                <w:szCs w:val="2"/>
              </w:rPr>
            </w:pPr>
          </w:p>
        </w:tc>
        <w:tc>
          <w:tcPr>
            <w:tcW w:w="418" w:type="dxa"/>
            <w:vMerge w:val="continue"/>
            <w:tcBorders>
              <w:top w:val="nil"/>
            </w:tcBorders>
          </w:tcPr>
          <w:p>
            <w:pPr>
              <w:rPr>
                <w:sz w:val="2"/>
                <w:szCs w:val="2"/>
              </w:rPr>
            </w:pPr>
          </w:p>
        </w:tc>
        <w:tc>
          <w:tcPr>
            <w:tcW w:w="677" w:type="dxa"/>
            <w:vMerge w:val="continue"/>
            <w:tcBorders>
              <w:top w:val="nil"/>
            </w:tcBorders>
          </w:tcPr>
          <w:p>
            <w:pPr>
              <w:rPr>
                <w:sz w:val="2"/>
                <w:szCs w:val="2"/>
              </w:rPr>
            </w:pPr>
          </w:p>
        </w:tc>
        <w:tc>
          <w:tcPr>
            <w:tcW w:w="415" w:type="dxa"/>
          </w:tcPr>
          <w:p>
            <w:pPr>
              <w:pStyle w:val="23"/>
              <w:rPr>
                <w:rFonts w:ascii="Times New Roman"/>
                <w:sz w:val="22"/>
              </w:rPr>
            </w:pPr>
          </w:p>
          <w:p>
            <w:pPr>
              <w:pStyle w:val="23"/>
              <w:rPr>
                <w:rFonts w:ascii="Times New Roman"/>
                <w:sz w:val="22"/>
              </w:rPr>
            </w:pPr>
          </w:p>
          <w:p>
            <w:pPr>
              <w:pStyle w:val="23"/>
              <w:rPr>
                <w:rFonts w:ascii="Times New Roman"/>
                <w:sz w:val="22"/>
              </w:rPr>
            </w:pPr>
          </w:p>
          <w:p>
            <w:pPr>
              <w:pStyle w:val="23"/>
              <w:spacing w:before="2"/>
              <w:rPr>
                <w:rFonts w:ascii="Times New Roman"/>
                <w:sz w:val="25"/>
              </w:rPr>
            </w:pPr>
          </w:p>
          <w:p>
            <w:pPr>
              <w:pStyle w:val="23"/>
              <w:ind w:left="4"/>
              <w:jc w:val="center"/>
              <w:rPr>
                <w:rFonts w:ascii="Times New Roman"/>
                <w:sz w:val="20"/>
              </w:rPr>
            </w:pPr>
            <w:r>
              <w:rPr>
                <w:rFonts w:ascii="Times New Roman"/>
                <w:w w:val="99"/>
                <w:sz w:val="20"/>
              </w:rPr>
              <w:t>6</w:t>
            </w:r>
          </w:p>
        </w:tc>
        <w:tc>
          <w:tcPr>
            <w:tcW w:w="816" w:type="dxa"/>
          </w:tcPr>
          <w:p>
            <w:pPr>
              <w:pStyle w:val="23"/>
              <w:rPr>
                <w:rFonts w:ascii="Times New Roman"/>
                <w:sz w:val="20"/>
              </w:rPr>
            </w:pPr>
          </w:p>
          <w:p>
            <w:pPr>
              <w:pStyle w:val="23"/>
              <w:rPr>
                <w:rFonts w:ascii="Times New Roman"/>
                <w:sz w:val="20"/>
              </w:rPr>
            </w:pPr>
          </w:p>
          <w:p>
            <w:pPr>
              <w:pStyle w:val="23"/>
              <w:rPr>
                <w:rFonts w:ascii="Times New Roman"/>
                <w:sz w:val="20"/>
              </w:rPr>
            </w:pPr>
          </w:p>
          <w:p>
            <w:pPr>
              <w:pStyle w:val="23"/>
              <w:spacing w:before="5"/>
              <w:rPr>
                <w:rFonts w:ascii="Times New Roman"/>
                <w:sz w:val="16"/>
              </w:rPr>
            </w:pPr>
          </w:p>
          <w:p>
            <w:pPr>
              <w:pStyle w:val="23"/>
              <w:spacing w:before="1" w:line="292" w:lineRule="auto"/>
              <w:ind w:left="205" w:right="201"/>
              <w:rPr>
                <w:sz w:val="20"/>
              </w:rPr>
            </w:pPr>
            <w:r>
              <w:rPr>
                <w:sz w:val="20"/>
              </w:rPr>
              <w:t>行政效能</w:t>
            </w:r>
          </w:p>
        </w:tc>
        <w:tc>
          <w:tcPr>
            <w:tcW w:w="523" w:type="dxa"/>
          </w:tcPr>
          <w:p>
            <w:pPr>
              <w:pStyle w:val="23"/>
              <w:rPr>
                <w:rFonts w:ascii="Times New Roman"/>
                <w:sz w:val="22"/>
              </w:rPr>
            </w:pPr>
          </w:p>
          <w:p>
            <w:pPr>
              <w:pStyle w:val="23"/>
              <w:rPr>
                <w:rFonts w:ascii="Times New Roman"/>
                <w:sz w:val="22"/>
              </w:rPr>
            </w:pPr>
          </w:p>
          <w:p>
            <w:pPr>
              <w:pStyle w:val="23"/>
              <w:rPr>
                <w:rFonts w:ascii="Times New Roman"/>
                <w:sz w:val="22"/>
              </w:rPr>
            </w:pPr>
          </w:p>
          <w:p>
            <w:pPr>
              <w:pStyle w:val="23"/>
              <w:spacing w:before="2"/>
              <w:rPr>
                <w:rFonts w:ascii="Times New Roman"/>
                <w:sz w:val="25"/>
              </w:rPr>
            </w:pPr>
          </w:p>
          <w:p>
            <w:pPr>
              <w:pStyle w:val="23"/>
              <w:ind w:left="7"/>
              <w:jc w:val="center"/>
              <w:rPr>
                <w:rFonts w:ascii="Times New Roman"/>
                <w:sz w:val="20"/>
              </w:rPr>
            </w:pPr>
            <w:r>
              <w:rPr>
                <w:rFonts w:ascii="Times New Roman"/>
                <w:w w:val="99"/>
                <w:sz w:val="20"/>
              </w:rPr>
              <w:t>6</w:t>
            </w:r>
          </w:p>
        </w:tc>
        <w:tc>
          <w:tcPr>
            <w:tcW w:w="2853" w:type="dxa"/>
          </w:tcPr>
          <w:p>
            <w:pPr>
              <w:pStyle w:val="23"/>
              <w:spacing w:before="2"/>
              <w:rPr>
                <w:rFonts w:ascii="Times New Roman"/>
                <w:sz w:val="22"/>
              </w:rPr>
            </w:pPr>
          </w:p>
          <w:p>
            <w:pPr>
              <w:pStyle w:val="23"/>
              <w:spacing w:before="1" w:line="292" w:lineRule="auto"/>
              <w:ind w:left="105" w:right="100"/>
              <w:rPr>
                <w:sz w:val="20"/>
              </w:rPr>
            </w:pPr>
            <w:r>
              <w:rPr>
                <w:spacing w:val="-2"/>
                <w:sz w:val="20"/>
              </w:rPr>
              <w:t>促进部门改进文风会风，加强经费及资产管理，推动网上办事，提高行政效率，降低行政</w:t>
            </w:r>
            <w:r>
              <w:rPr>
                <w:spacing w:val="-6"/>
                <w:sz w:val="20"/>
              </w:rPr>
              <w:t>成本效果较好的计</w:t>
            </w:r>
            <w:r>
              <w:rPr>
                <w:rFonts w:ascii="Times New Roman" w:eastAsia="Times New Roman"/>
                <w:sz w:val="20"/>
              </w:rPr>
              <w:t>6</w:t>
            </w:r>
            <w:r>
              <w:rPr>
                <w:sz w:val="20"/>
              </w:rPr>
              <w:t>分；一般</w:t>
            </w:r>
          </w:p>
          <w:p>
            <w:pPr>
              <w:pStyle w:val="23"/>
              <w:spacing w:line="254" w:lineRule="exact"/>
              <w:ind w:left="105"/>
              <w:rPr>
                <w:rFonts w:ascii="Times New Roman" w:eastAsia="Times New Roman"/>
                <w:sz w:val="20"/>
              </w:rPr>
            </w:pPr>
            <w:r>
              <w:rPr>
                <w:rFonts w:ascii="Times New Roman" w:eastAsia="Times New Roman"/>
                <w:sz w:val="20"/>
              </w:rPr>
              <w:t>3</w:t>
            </w:r>
            <w:r>
              <w:rPr>
                <w:spacing w:val="-13"/>
                <w:sz w:val="20"/>
              </w:rPr>
              <w:t>分；无效果或者效果不明显</w:t>
            </w:r>
            <w:r>
              <w:rPr>
                <w:rFonts w:ascii="Times New Roman" w:eastAsia="Times New Roman"/>
                <w:sz w:val="20"/>
              </w:rPr>
              <w:t>0</w:t>
            </w:r>
          </w:p>
          <w:p>
            <w:pPr>
              <w:pStyle w:val="23"/>
              <w:spacing w:before="55"/>
              <w:ind w:left="105"/>
              <w:rPr>
                <w:sz w:val="20"/>
              </w:rPr>
            </w:pPr>
            <w:r>
              <w:rPr>
                <w:sz w:val="20"/>
              </w:rPr>
              <w:t>分。</w:t>
            </w:r>
          </w:p>
        </w:tc>
        <w:tc>
          <w:tcPr>
            <w:tcW w:w="2999" w:type="dxa"/>
          </w:tcPr>
          <w:p>
            <w:pPr>
              <w:pStyle w:val="23"/>
              <w:rPr>
                <w:rFonts w:ascii="Times New Roman"/>
                <w:sz w:val="20"/>
              </w:rPr>
            </w:pPr>
          </w:p>
          <w:p>
            <w:pPr>
              <w:pStyle w:val="23"/>
              <w:rPr>
                <w:rFonts w:ascii="Times New Roman"/>
                <w:sz w:val="20"/>
              </w:rPr>
            </w:pPr>
          </w:p>
          <w:p>
            <w:pPr>
              <w:pStyle w:val="23"/>
              <w:rPr>
                <w:rFonts w:ascii="Times New Roman"/>
                <w:sz w:val="20"/>
              </w:rPr>
            </w:pPr>
          </w:p>
          <w:p>
            <w:pPr>
              <w:pStyle w:val="23"/>
              <w:rPr>
                <w:rFonts w:ascii="Times New Roman"/>
                <w:sz w:val="20"/>
              </w:rPr>
            </w:pPr>
          </w:p>
          <w:p>
            <w:pPr>
              <w:pStyle w:val="23"/>
              <w:spacing w:before="116"/>
              <w:ind w:left="105"/>
              <w:rPr>
                <w:sz w:val="20"/>
              </w:rPr>
            </w:pPr>
            <w:r>
              <w:rPr>
                <w:sz w:val="20"/>
              </w:rPr>
              <w:t>根据部门实际情况评定。</w:t>
            </w:r>
          </w:p>
        </w:tc>
        <w:tc>
          <w:tcPr>
            <w:tcW w:w="532" w:type="dxa"/>
            <w:vAlign w:val="center"/>
          </w:tcPr>
          <w:p>
            <w:pPr>
              <w:pStyle w:val="23"/>
              <w:jc w:val="center"/>
              <w:rPr>
                <w:rFonts w:ascii="Times New Roman"/>
                <w:sz w:val="18"/>
                <w:lang w:val="en-US"/>
              </w:rPr>
            </w:pPr>
            <w:r>
              <w:rPr>
                <w:rFonts w:hint="eastAsia" w:ascii="Times New Roman"/>
                <w:sz w:val="18"/>
                <w:lang w:val="en-US"/>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97" w:hRule="atLeast"/>
        </w:trPr>
        <w:tc>
          <w:tcPr>
            <w:tcW w:w="516" w:type="dxa"/>
            <w:vMerge w:val="continue"/>
            <w:tcBorders>
              <w:top w:val="nil"/>
            </w:tcBorders>
          </w:tcPr>
          <w:p>
            <w:pPr>
              <w:rPr>
                <w:sz w:val="2"/>
                <w:szCs w:val="2"/>
              </w:rPr>
            </w:pPr>
          </w:p>
        </w:tc>
        <w:tc>
          <w:tcPr>
            <w:tcW w:w="418" w:type="dxa"/>
            <w:vMerge w:val="continue"/>
            <w:tcBorders>
              <w:top w:val="nil"/>
            </w:tcBorders>
          </w:tcPr>
          <w:p>
            <w:pPr>
              <w:rPr>
                <w:sz w:val="2"/>
                <w:szCs w:val="2"/>
              </w:rPr>
            </w:pPr>
          </w:p>
        </w:tc>
        <w:tc>
          <w:tcPr>
            <w:tcW w:w="677" w:type="dxa"/>
            <w:vMerge w:val="continue"/>
            <w:tcBorders>
              <w:top w:val="nil"/>
            </w:tcBorders>
          </w:tcPr>
          <w:p>
            <w:pPr>
              <w:rPr>
                <w:sz w:val="2"/>
                <w:szCs w:val="2"/>
              </w:rPr>
            </w:pPr>
          </w:p>
        </w:tc>
        <w:tc>
          <w:tcPr>
            <w:tcW w:w="415" w:type="dxa"/>
          </w:tcPr>
          <w:p>
            <w:pPr>
              <w:pStyle w:val="23"/>
              <w:rPr>
                <w:rFonts w:ascii="Times New Roman"/>
                <w:sz w:val="22"/>
              </w:rPr>
            </w:pPr>
          </w:p>
          <w:p>
            <w:pPr>
              <w:pStyle w:val="23"/>
              <w:rPr>
                <w:rFonts w:ascii="Times New Roman"/>
                <w:sz w:val="22"/>
              </w:rPr>
            </w:pPr>
          </w:p>
          <w:p>
            <w:pPr>
              <w:pStyle w:val="23"/>
              <w:rPr>
                <w:rFonts w:ascii="Times New Roman"/>
                <w:sz w:val="24"/>
              </w:rPr>
            </w:pPr>
          </w:p>
          <w:p>
            <w:pPr>
              <w:pStyle w:val="23"/>
              <w:ind w:left="4"/>
              <w:jc w:val="center"/>
              <w:rPr>
                <w:rFonts w:ascii="Times New Roman"/>
                <w:sz w:val="20"/>
              </w:rPr>
            </w:pPr>
            <w:r>
              <w:rPr>
                <w:rFonts w:ascii="Times New Roman"/>
                <w:w w:val="99"/>
                <w:sz w:val="20"/>
              </w:rPr>
              <w:t>6</w:t>
            </w:r>
          </w:p>
        </w:tc>
        <w:tc>
          <w:tcPr>
            <w:tcW w:w="816" w:type="dxa"/>
          </w:tcPr>
          <w:p>
            <w:pPr>
              <w:pStyle w:val="23"/>
              <w:spacing w:before="2"/>
              <w:rPr>
                <w:rFonts w:ascii="Times New Roman"/>
                <w:sz w:val="26"/>
              </w:rPr>
            </w:pPr>
          </w:p>
          <w:p>
            <w:pPr>
              <w:pStyle w:val="23"/>
              <w:spacing w:line="292" w:lineRule="auto"/>
              <w:ind w:left="105" w:right="99"/>
              <w:rPr>
                <w:sz w:val="20"/>
              </w:rPr>
            </w:pPr>
            <w:r>
              <w:rPr>
                <w:sz w:val="20"/>
              </w:rPr>
              <w:t>社会公众或服务对象满意度</w:t>
            </w:r>
          </w:p>
        </w:tc>
        <w:tc>
          <w:tcPr>
            <w:tcW w:w="523" w:type="dxa"/>
          </w:tcPr>
          <w:p>
            <w:pPr>
              <w:pStyle w:val="23"/>
              <w:rPr>
                <w:rFonts w:ascii="Times New Roman"/>
                <w:sz w:val="22"/>
              </w:rPr>
            </w:pPr>
          </w:p>
          <w:p>
            <w:pPr>
              <w:pStyle w:val="23"/>
              <w:rPr>
                <w:rFonts w:ascii="Times New Roman"/>
                <w:sz w:val="22"/>
              </w:rPr>
            </w:pPr>
          </w:p>
          <w:p>
            <w:pPr>
              <w:pStyle w:val="23"/>
              <w:rPr>
                <w:rFonts w:ascii="Times New Roman"/>
                <w:sz w:val="24"/>
              </w:rPr>
            </w:pPr>
          </w:p>
          <w:p>
            <w:pPr>
              <w:pStyle w:val="23"/>
              <w:ind w:left="7"/>
              <w:jc w:val="center"/>
              <w:rPr>
                <w:rFonts w:ascii="Times New Roman"/>
                <w:sz w:val="20"/>
              </w:rPr>
            </w:pPr>
            <w:r>
              <w:rPr>
                <w:rFonts w:ascii="Times New Roman"/>
                <w:w w:val="99"/>
                <w:sz w:val="20"/>
              </w:rPr>
              <w:t>6</w:t>
            </w:r>
          </w:p>
        </w:tc>
        <w:tc>
          <w:tcPr>
            <w:tcW w:w="2853" w:type="dxa"/>
          </w:tcPr>
          <w:p>
            <w:pPr>
              <w:pStyle w:val="23"/>
              <w:spacing w:before="2"/>
              <w:rPr>
                <w:rFonts w:ascii="Times New Roman"/>
                <w:sz w:val="26"/>
              </w:rPr>
            </w:pPr>
          </w:p>
          <w:p>
            <w:pPr>
              <w:pStyle w:val="23"/>
              <w:ind w:left="105"/>
              <w:rPr>
                <w:sz w:val="20"/>
              </w:rPr>
            </w:pPr>
            <w:r>
              <w:rPr>
                <w:rFonts w:ascii="Times New Roman" w:eastAsia="Times New Roman"/>
                <w:sz w:val="20"/>
              </w:rPr>
              <w:t>90%</w:t>
            </w:r>
            <w:r>
              <w:rPr>
                <w:sz w:val="20"/>
              </w:rPr>
              <w:t>（含）以上计</w:t>
            </w:r>
            <w:r>
              <w:rPr>
                <w:rFonts w:ascii="Times New Roman" w:eastAsia="Times New Roman"/>
                <w:sz w:val="20"/>
              </w:rPr>
              <w:t>6</w:t>
            </w:r>
            <w:r>
              <w:rPr>
                <w:sz w:val="20"/>
              </w:rPr>
              <w:t>分；</w:t>
            </w:r>
          </w:p>
          <w:p>
            <w:pPr>
              <w:pStyle w:val="23"/>
              <w:spacing w:before="56"/>
              <w:ind w:left="105"/>
              <w:rPr>
                <w:sz w:val="20"/>
              </w:rPr>
            </w:pPr>
            <w:r>
              <w:rPr>
                <w:rFonts w:ascii="Times New Roman" w:eastAsia="Times New Roman"/>
                <w:sz w:val="20"/>
              </w:rPr>
              <w:t>80%</w:t>
            </w:r>
            <w:r>
              <w:rPr>
                <w:sz w:val="20"/>
              </w:rPr>
              <w:t>（含）</w:t>
            </w:r>
            <w:r>
              <w:rPr>
                <w:rFonts w:ascii="Times New Roman" w:eastAsia="Times New Roman"/>
                <w:sz w:val="20"/>
              </w:rPr>
              <w:t>-90%</w:t>
            </w:r>
            <w:r>
              <w:rPr>
                <w:sz w:val="20"/>
              </w:rPr>
              <w:t>，计</w:t>
            </w:r>
            <w:r>
              <w:rPr>
                <w:rFonts w:ascii="Times New Roman" w:eastAsia="Times New Roman"/>
                <w:sz w:val="20"/>
              </w:rPr>
              <w:t>4</w:t>
            </w:r>
            <w:r>
              <w:rPr>
                <w:sz w:val="20"/>
              </w:rPr>
              <w:t>分；</w:t>
            </w:r>
          </w:p>
          <w:p>
            <w:pPr>
              <w:pStyle w:val="23"/>
              <w:spacing w:before="56" w:line="292" w:lineRule="auto"/>
              <w:ind w:left="105" w:right="274"/>
              <w:rPr>
                <w:sz w:val="20"/>
              </w:rPr>
            </w:pPr>
            <w:r>
              <w:rPr>
                <w:rFonts w:ascii="Times New Roman" w:eastAsia="Times New Roman"/>
                <w:sz w:val="20"/>
              </w:rPr>
              <w:t>70%</w:t>
            </w:r>
            <w:r>
              <w:rPr>
                <w:sz w:val="20"/>
              </w:rPr>
              <w:t>（含）</w:t>
            </w:r>
            <w:r>
              <w:rPr>
                <w:rFonts w:ascii="Times New Roman" w:eastAsia="Times New Roman"/>
                <w:sz w:val="20"/>
              </w:rPr>
              <w:t>-80%</w:t>
            </w:r>
            <w:r>
              <w:rPr>
                <w:sz w:val="20"/>
              </w:rPr>
              <w:t>，计</w:t>
            </w:r>
            <w:r>
              <w:rPr>
                <w:rFonts w:ascii="Times New Roman" w:eastAsia="Times New Roman"/>
                <w:sz w:val="20"/>
              </w:rPr>
              <w:t>2</w:t>
            </w:r>
            <w:r>
              <w:rPr>
                <w:sz w:val="20"/>
              </w:rPr>
              <w:t>分；低于</w:t>
            </w:r>
            <w:r>
              <w:rPr>
                <w:rFonts w:ascii="Times New Roman" w:eastAsia="Times New Roman"/>
                <w:sz w:val="20"/>
              </w:rPr>
              <w:t>70%</w:t>
            </w:r>
            <w:r>
              <w:rPr>
                <w:sz w:val="20"/>
              </w:rPr>
              <w:t>计</w:t>
            </w:r>
            <w:r>
              <w:rPr>
                <w:rFonts w:ascii="Times New Roman" w:eastAsia="Times New Roman"/>
                <w:sz w:val="20"/>
              </w:rPr>
              <w:t>0</w:t>
            </w:r>
            <w:r>
              <w:rPr>
                <w:sz w:val="20"/>
              </w:rPr>
              <w:t>分。</w:t>
            </w:r>
          </w:p>
        </w:tc>
        <w:tc>
          <w:tcPr>
            <w:tcW w:w="2999" w:type="dxa"/>
          </w:tcPr>
          <w:p>
            <w:pPr>
              <w:pStyle w:val="23"/>
              <w:spacing w:before="2"/>
              <w:rPr>
                <w:rFonts w:ascii="Times New Roman"/>
                <w:sz w:val="26"/>
              </w:rPr>
            </w:pPr>
          </w:p>
          <w:p>
            <w:pPr>
              <w:pStyle w:val="23"/>
              <w:ind w:left="105"/>
              <w:rPr>
                <w:sz w:val="20"/>
              </w:rPr>
            </w:pPr>
            <w:r>
              <w:rPr>
                <w:sz w:val="20"/>
              </w:rPr>
              <w:t>社会公众或服务对象是指部门</w:t>
            </w:r>
          </w:p>
          <w:p>
            <w:pPr>
              <w:pStyle w:val="23"/>
              <w:spacing w:before="56" w:line="292" w:lineRule="auto"/>
              <w:ind w:left="105" w:right="97"/>
              <w:rPr>
                <w:sz w:val="20"/>
              </w:rPr>
            </w:pPr>
            <w:r>
              <w:rPr>
                <w:sz w:val="20"/>
              </w:rPr>
              <w:t>（单位</w:t>
            </w:r>
            <w:r>
              <w:rPr>
                <w:spacing w:val="-15"/>
                <w:sz w:val="20"/>
              </w:rPr>
              <w:t>）</w:t>
            </w:r>
            <w:r>
              <w:rPr>
                <w:spacing w:val="-2"/>
                <w:sz w:val="20"/>
              </w:rPr>
              <w:t>履行职责而影响到的部</w:t>
            </w:r>
            <w:r>
              <w:rPr>
                <w:spacing w:val="-5"/>
                <w:sz w:val="20"/>
              </w:rPr>
              <w:t>门、群体或个人，一般采取社会</w:t>
            </w:r>
            <w:r>
              <w:rPr>
                <w:sz w:val="20"/>
              </w:rPr>
              <w:t>调查的方式。</w:t>
            </w:r>
          </w:p>
        </w:tc>
        <w:tc>
          <w:tcPr>
            <w:tcW w:w="532" w:type="dxa"/>
            <w:vAlign w:val="center"/>
          </w:tcPr>
          <w:p>
            <w:pPr>
              <w:pStyle w:val="23"/>
              <w:jc w:val="center"/>
              <w:rPr>
                <w:rFonts w:ascii="Times New Roman"/>
                <w:sz w:val="18"/>
                <w:lang w:val="en-US"/>
              </w:rPr>
            </w:pPr>
            <w:r>
              <w:rPr>
                <w:rFonts w:hint="eastAsia" w:ascii="Times New Roman"/>
                <w:sz w:val="18"/>
                <w:lang w:val="en-US"/>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0" w:hRule="atLeast"/>
        </w:trPr>
        <w:tc>
          <w:tcPr>
            <w:tcW w:w="2842" w:type="dxa"/>
            <w:gridSpan w:val="5"/>
          </w:tcPr>
          <w:p>
            <w:pPr>
              <w:pStyle w:val="23"/>
              <w:rPr>
                <w:rFonts w:ascii="Times New Roman"/>
                <w:sz w:val="17"/>
              </w:rPr>
            </w:pPr>
          </w:p>
          <w:p>
            <w:pPr>
              <w:pStyle w:val="23"/>
              <w:ind w:left="1198" w:right="1194"/>
              <w:jc w:val="center"/>
              <w:rPr>
                <w:sz w:val="20"/>
              </w:rPr>
            </w:pPr>
            <w:r>
              <w:rPr>
                <w:sz w:val="20"/>
              </w:rPr>
              <w:t>合计</w:t>
            </w:r>
          </w:p>
        </w:tc>
        <w:tc>
          <w:tcPr>
            <w:tcW w:w="523" w:type="dxa"/>
          </w:tcPr>
          <w:p>
            <w:pPr>
              <w:pStyle w:val="23"/>
              <w:spacing w:before="2"/>
              <w:rPr>
                <w:rFonts w:ascii="Times New Roman"/>
                <w:sz w:val="18"/>
              </w:rPr>
            </w:pPr>
          </w:p>
          <w:p>
            <w:pPr>
              <w:pStyle w:val="23"/>
              <w:ind w:left="90" w:right="83"/>
              <w:jc w:val="center"/>
              <w:rPr>
                <w:rFonts w:ascii="Times New Roman"/>
                <w:sz w:val="20"/>
              </w:rPr>
            </w:pPr>
            <w:r>
              <w:rPr>
                <w:rFonts w:ascii="Times New Roman"/>
                <w:sz w:val="20"/>
              </w:rPr>
              <w:t>100</w:t>
            </w:r>
          </w:p>
        </w:tc>
        <w:tc>
          <w:tcPr>
            <w:tcW w:w="5852" w:type="dxa"/>
            <w:gridSpan w:val="2"/>
          </w:tcPr>
          <w:p>
            <w:pPr>
              <w:pStyle w:val="23"/>
              <w:rPr>
                <w:rFonts w:ascii="Times New Roman"/>
                <w:sz w:val="18"/>
              </w:rPr>
            </w:pPr>
          </w:p>
        </w:tc>
        <w:tc>
          <w:tcPr>
            <w:tcW w:w="532" w:type="dxa"/>
            <w:vAlign w:val="center"/>
          </w:tcPr>
          <w:p>
            <w:pPr>
              <w:pStyle w:val="23"/>
              <w:jc w:val="center"/>
              <w:rPr>
                <w:rFonts w:ascii="Times New Roman"/>
                <w:sz w:val="18"/>
                <w:lang w:val="en-US"/>
              </w:rPr>
            </w:pPr>
            <w:r>
              <w:rPr>
                <w:rFonts w:hint="eastAsia" w:ascii="Times New Roman"/>
                <w:sz w:val="18"/>
                <w:lang w:val="en-US"/>
              </w:rPr>
              <w:t>90</w:t>
            </w:r>
          </w:p>
        </w:tc>
      </w:tr>
    </w:tbl>
    <w:p>
      <w:pPr>
        <w:pStyle w:val="6"/>
        <w:rPr>
          <w:rFonts w:ascii="Times New Roman"/>
          <w:sz w:val="9"/>
        </w:rPr>
      </w:pPr>
    </w:p>
    <w:p>
      <w:pPr>
        <w:spacing w:line="480" w:lineRule="exact"/>
        <w:ind w:right="560"/>
        <w:jc w:val="left"/>
        <w:rPr>
          <w:rFonts w:ascii="仿宋" w:hAnsi="仿宋" w:eastAsia="仿宋" w:cs="仿宋"/>
          <w:sz w:val="32"/>
          <w:szCs w:val="32"/>
        </w:rPr>
      </w:pPr>
    </w:p>
    <w:p/>
    <w:p>
      <w:pPr>
        <w:spacing w:line="480" w:lineRule="exact"/>
        <w:ind w:right="560"/>
        <w:jc w:val="left"/>
        <w:rPr>
          <w:rFonts w:ascii="仿宋" w:hAnsi="仿宋" w:eastAsia="仿宋" w:cs="仿宋"/>
          <w:sz w:val="28"/>
          <w:szCs w:val="28"/>
        </w:rPr>
      </w:pPr>
    </w:p>
    <w:p>
      <w:pPr>
        <w:spacing w:line="480" w:lineRule="exact"/>
        <w:ind w:right="560"/>
        <w:jc w:val="left"/>
        <w:rPr>
          <w:rFonts w:ascii="仿宋" w:hAnsi="仿宋" w:eastAsia="仿宋" w:cs="仿宋"/>
          <w:sz w:val="28"/>
          <w:szCs w:val="28"/>
        </w:rPr>
      </w:pPr>
    </w:p>
    <w:p/>
    <w:sectPr>
      <w:footerReference r:id="rId4"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libri Light">
    <w:altName w:val="DejaVu Sans"/>
    <w:panose1 w:val="020F0302020204030204"/>
    <w:charset w:val="00"/>
    <w:family w:val="swiss"/>
    <w:pitch w:val="default"/>
    <w:sig w:usb0="00000000" w:usb1="00000000" w:usb2="00000000" w:usb3="00000000" w:csb0="0000019F" w:csb1="00000000"/>
  </w:font>
  <w:font w:name="Cambria">
    <w:altName w:val="FreeSerif"/>
    <w:panose1 w:val="02040503050406030204"/>
    <w:charset w:val="00"/>
    <w:family w:val="roman"/>
    <w:pitch w:val="default"/>
    <w:sig w:usb0="00000000" w:usb1="00000000" w:usb2="00000000" w:usb3="00000000" w:csb0="200001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zSVju&#10;0AAAAAUBAAAPAAAAAAAAAAEAIAAAACIAAABkcnMvZG93bnJldi54bWxQSwECFAAUAAAACACHTuJA&#10;8sceO7cBAABUAwAADgAAAAAAAAABACAAAAAfAQAAZHJzL2Uyb0RvYy54bWxQSwUGAAAAAAYABgBZ&#10;AQAASAUAAAAA&#10;">
          <v:path/>
          <v:fill on="f" focussize="0,0"/>
          <v:stroke on="f" weight="0.5pt" joinstyle="miter"/>
          <v:imagedata o:title=""/>
          <o:lock v:ext="edit"/>
          <v:textbox inset="0mm,0mm,0mm,0mm" style="mso-fit-shape-to-text:t;">
            <w:txbxContent>
              <w:p>
                <w:pPr>
                  <w:pStyle w:val="8"/>
                </w:pPr>
                <w:r>
                  <w:fldChar w:fldCharType="begin"/>
                </w:r>
                <w:r>
                  <w:instrText xml:space="preserve"> PAGE  \* MERGEFORMAT </w:instrText>
                </w:r>
                <w:r>
                  <w:fldChar w:fldCharType="separate"/>
                </w:r>
                <w:r>
                  <w:t>27</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pict>
        <v:shape id="_x0000_s1027" o:spid="_x0000_s1027"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zSVju&#10;0AAAAAUBAAAPAAAAAAAAAAEAIAAAACIAAABkcnMvZG93bnJldi54bWxQSwECFAAUAAAACACHTuJA&#10;b+vBR7cBAABUAwAADgAAAAAAAAABACAAAAAfAQAAZHJzL2Uyb0RvYy54bWxQSwUGAAAAAAYABgBZ&#10;AQAASAUAAAAA&#10;">
          <v:path/>
          <v:fill on="f" focussize="0,0"/>
          <v:stroke on="f" weight="0.5pt" joinstyle="miter"/>
          <v:imagedata o:title=""/>
          <o:lock v:ext="edit"/>
          <v:textbox inset="0mm,0mm,0mm,0mm" style="mso-fit-shape-to-text:t;">
            <w:txbxContent>
              <w:p>
                <w:pPr>
                  <w:pStyle w:val="8"/>
                </w:pPr>
                <w:r>
                  <w:fldChar w:fldCharType="begin"/>
                </w:r>
                <w:r>
                  <w:instrText xml:space="preserve"> PAGE  \* MERGEFORMAT </w:instrText>
                </w:r>
                <w:r>
                  <w:fldChar w:fldCharType="separate"/>
                </w:r>
                <w:r>
                  <w:t>28</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6D02B30"/>
    <w:multiLevelType w:val="singleLevel"/>
    <w:tmpl w:val="E6D02B30"/>
    <w:lvl w:ilvl="0" w:tentative="0">
      <w:start w:val="2"/>
      <w:numFmt w:val="chineseCounting"/>
      <w:suff w:val="nothing"/>
      <w:lvlText w:val="（%1）"/>
      <w:lvlJc w:val="left"/>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1"/>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1"/>
  </w:compat>
  <w:rsids>
    <w:rsidRoot w:val="409C04F7"/>
    <w:rsid w:val="000348B8"/>
    <w:rsid w:val="00175ED2"/>
    <w:rsid w:val="001A58F2"/>
    <w:rsid w:val="002C1BA6"/>
    <w:rsid w:val="002C6865"/>
    <w:rsid w:val="002D28F1"/>
    <w:rsid w:val="00372D09"/>
    <w:rsid w:val="003D7A5B"/>
    <w:rsid w:val="0040288B"/>
    <w:rsid w:val="0042537F"/>
    <w:rsid w:val="005A4E7C"/>
    <w:rsid w:val="0077790C"/>
    <w:rsid w:val="007877C4"/>
    <w:rsid w:val="007E451E"/>
    <w:rsid w:val="00931FE8"/>
    <w:rsid w:val="00B2710F"/>
    <w:rsid w:val="00B663E7"/>
    <w:rsid w:val="00BD5C88"/>
    <w:rsid w:val="00C15742"/>
    <w:rsid w:val="00C41604"/>
    <w:rsid w:val="00DD717B"/>
    <w:rsid w:val="00E139A7"/>
    <w:rsid w:val="00EC00D5"/>
    <w:rsid w:val="00F459C3"/>
    <w:rsid w:val="00FE0E5C"/>
    <w:rsid w:val="1BB1140D"/>
    <w:rsid w:val="1EAE773E"/>
    <w:rsid w:val="2154041D"/>
    <w:rsid w:val="2A223ED2"/>
    <w:rsid w:val="2F3A034C"/>
    <w:rsid w:val="3BD3189C"/>
    <w:rsid w:val="409C04F7"/>
    <w:rsid w:val="4C356458"/>
    <w:rsid w:val="51B54C6A"/>
    <w:rsid w:val="5DD12577"/>
    <w:rsid w:val="5FFD8965"/>
    <w:rsid w:val="639E31C6"/>
    <w:rsid w:val="65187942"/>
    <w:rsid w:val="655D2503"/>
    <w:rsid w:val="65C57298"/>
    <w:rsid w:val="68D55739"/>
    <w:rsid w:val="6D2D6119"/>
    <w:rsid w:val="6E1415D2"/>
    <w:rsid w:val="72604A08"/>
    <w:rsid w:val="78455434"/>
    <w:rsid w:val="7C2F061D"/>
    <w:rsid w:val="7C69319B"/>
    <w:rsid w:val="DFD3A0FB"/>
  </w:rsids>
  <m:mathPr>
    <m:mathFont m:val="Cambria Math"/>
    <m:brkBin m:val="before"/>
    <m:brkBinSub m:val="--"/>
    <m:smallFrac m:val="1"/>
    <m:dispDef/>
    <m:lMargin m:val="0"/>
    <m:rMargin m:val="0"/>
    <m:defJc m:val="centerGroup"/>
    <m:wrapIndent m:val="1440"/>
    <m:intLim m:val="subSup"/>
    <m:naryLim m:val="undOvr"/>
  </m:mathPr>
  <w:attachedSchema w:val="urn:schemas-microsoft-com:office:smarttags"/>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7"/>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18"/>
    <w:qFormat/>
    <w:uiPriority w:val="99"/>
    <w:pPr>
      <w:keepNext/>
      <w:keepLines/>
      <w:spacing w:before="260" w:after="260" w:line="416" w:lineRule="auto"/>
      <w:outlineLvl w:val="1"/>
    </w:pPr>
    <w:rPr>
      <w:rFonts w:ascii="Calibri Light" w:hAnsi="Calibri Light"/>
      <w:b/>
      <w:bCs/>
      <w:sz w:val="32"/>
      <w:szCs w:val="32"/>
    </w:rPr>
  </w:style>
  <w:style w:type="paragraph" w:styleId="4">
    <w:name w:val="heading 3"/>
    <w:basedOn w:val="1"/>
    <w:next w:val="1"/>
    <w:link w:val="19"/>
    <w:qFormat/>
    <w:uiPriority w:val="99"/>
    <w:pPr>
      <w:keepNext/>
      <w:keepLines/>
      <w:spacing w:line="413" w:lineRule="auto"/>
      <w:outlineLvl w:val="2"/>
    </w:pPr>
    <w:rPr>
      <w:b/>
      <w:sz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Document Map"/>
    <w:basedOn w:val="1"/>
    <w:link w:val="24"/>
    <w:semiHidden/>
    <w:unhideWhenUsed/>
    <w:qFormat/>
    <w:uiPriority w:val="99"/>
    <w:rPr>
      <w:rFonts w:ascii="宋体"/>
      <w:sz w:val="18"/>
      <w:szCs w:val="18"/>
    </w:rPr>
  </w:style>
  <w:style w:type="paragraph" w:styleId="6">
    <w:name w:val="Body Text"/>
    <w:basedOn w:val="1"/>
    <w:qFormat/>
    <w:uiPriority w:val="1"/>
    <w:rPr>
      <w:rFonts w:ascii="宋体" w:hAnsi="宋体" w:cs="宋体"/>
      <w:sz w:val="32"/>
      <w:szCs w:val="32"/>
      <w:lang w:val="zh-CN" w:bidi="zh-CN"/>
    </w:rPr>
  </w:style>
  <w:style w:type="paragraph" w:styleId="7">
    <w:name w:val="toc 3"/>
    <w:basedOn w:val="1"/>
    <w:next w:val="1"/>
    <w:qFormat/>
    <w:uiPriority w:val="39"/>
    <w:pPr>
      <w:ind w:left="840" w:leftChars="400"/>
    </w:pPr>
  </w:style>
  <w:style w:type="paragraph" w:styleId="8">
    <w:name w:val="footer"/>
    <w:basedOn w:val="1"/>
    <w:link w:val="20"/>
    <w:qFormat/>
    <w:uiPriority w:val="99"/>
    <w:pPr>
      <w:tabs>
        <w:tab w:val="center" w:pos="4153"/>
        <w:tab w:val="right" w:pos="8306"/>
      </w:tabs>
      <w:snapToGrid w:val="0"/>
      <w:jc w:val="left"/>
    </w:pPr>
    <w:rPr>
      <w:sz w:val="18"/>
    </w:rPr>
  </w:style>
  <w:style w:type="paragraph" w:styleId="9">
    <w:name w:val="header"/>
    <w:basedOn w:val="1"/>
    <w:link w:val="21"/>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toc 1"/>
    <w:basedOn w:val="1"/>
    <w:next w:val="1"/>
    <w:qFormat/>
    <w:uiPriority w:val="39"/>
  </w:style>
  <w:style w:type="paragraph" w:styleId="11">
    <w:name w:val="toc 2"/>
    <w:basedOn w:val="1"/>
    <w:next w:val="1"/>
    <w:qFormat/>
    <w:uiPriority w:val="39"/>
    <w:pPr>
      <w:ind w:left="420" w:leftChars="200"/>
    </w:pPr>
  </w:style>
  <w:style w:type="paragraph" w:styleId="12">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13">
    <w:name w:val="Title"/>
    <w:basedOn w:val="1"/>
    <w:next w:val="1"/>
    <w:link w:val="22"/>
    <w:qFormat/>
    <w:locked/>
    <w:uiPriority w:val="0"/>
    <w:pPr>
      <w:spacing w:before="240" w:after="60"/>
      <w:jc w:val="center"/>
      <w:outlineLvl w:val="0"/>
    </w:pPr>
    <w:rPr>
      <w:rFonts w:asciiTheme="majorHAnsi" w:hAnsiTheme="majorHAnsi" w:cstheme="majorBidi"/>
      <w:b/>
      <w:bCs/>
      <w:sz w:val="32"/>
      <w:szCs w:val="32"/>
    </w:rPr>
  </w:style>
  <w:style w:type="character" w:styleId="16">
    <w:name w:val="Hyperlink"/>
    <w:basedOn w:val="15"/>
    <w:unhideWhenUsed/>
    <w:qFormat/>
    <w:uiPriority w:val="99"/>
    <w:rPr>
      <w:color w:val="0000FF" w:themeColor="hyperlink"/>
      <w:u w:val="single"/>
    </w:rPr>
  </w:style>
  <w:style w:type="character" w:customStyle="1" w:styleId="17">
    <w:name w:val="标题 1 Char"/>
    <w:basedOn w:val="15"/>
    <w:link w:val="2"/>
    <w:qFormat/>
    <w:uiPriority w:val="9"/>
    <w:rPr>
      <w:rFonts w:ascii="Calibri" w:hAnsi="Calibri"/>
      <w:b/>
      <w:bCs/>
      <w:kern w:val="44"/>
      <w:sz w:val="44"/>
      <w:szCs w:val="44"/>
    </w:rPr>
  </w:style>
  <w:style w:type="character" w:customStyle="1" w:styleId="18">
    <w:name w:val="标题 2 Char"/>
    <w:basedOn w:val="15"/>
    <w:link w:val="3"/>
    <w:semiHidden/>
    <w:qFormat/>
    <w:uiPriority w:val="9"/>
    <w:rPr>
      <w:rFonts w:asciiTheme="majorHAnsi" w:hAnsiTheme="majorHAnsi" w:eastAsiaTheme="majorEastAsia" w:cstheme="majorBidi"/>
      <w:b/>
      <w:bCs/>
      <w:sz w:val="32"/>
      <w:szCs w:val="32"/>
    </w:rPr>
  </w:style>
  <w:style w:type="character" w:customStyle="1" w:styleId="19">
    <w:name w:val="标题 3 Char"/>
    <w:basedOn w:val="15"/>
    <w:link w:val="4"/>
    <w:semiHidden/>
    <w:qFormat/>
    <w:uiPriority w:val="9"/>
    <w:rPr>
      <w:rFonts w:ascii="Calibri" w:hAnsi="Calibri"/>
      <w:b/>
      <w:bCs/>
      <w:sz w:val="32"/>
      <w:szCs w:val="32"/>
    </w:rPr>
  </w:style>
  <w:style w:type="character" w:customStyle="1" w:styleId="20">
    <w:name w:val="页脚 Char"/>
    <w:basedOn w:val="15"/>
    <w:link w:val="8"/>
    <w:semiHidden/>
    <w:qFormat/>
    <w:uiPriority w:val="99"/>
    <w:rPr>
      <w:rFonts w:ascii="Calibri" w:hAnsi="Calibri"/>
      <w:sz w:val="18"/>
      <w:szCs w:val="18"/>
    </w:rPr>
  </w:style>
  <w:style w:type="character" w:customStyle="1" w:styleId="21">
    <w:name w:val="页眉 Char"/>
    <w:basedOn w:val="15"/>
    <w:link w:val="9"/>
    <w:semiHidden/>
    <w:qFormat/>
    <w:uiPriority w:val="99"/>
    <w:rPr>
      <w:rFonts w:ascii="Calibri" w:hAnsi="Calibri"/>
      <w:sz w:val="18"/>
      <w:szCs w:val="18"/>
    </w:rPr>
  </w:style>
  <w:style w:type="character" w:customStyle="1" w:styleId="22">
    <w:name w:val="标题 Char"/>
    <w:basedOn w:val="15"/>
    <w:link w:val="13"/>
    <w:qFormat/>
    <w:uiPriority w:val="0"/>
    <w:rPr>
      <w:rFonts w:asciiTheme="majorHAnsi" w:hAnsiTheme="majorHAnsi" w:cstheme="majorBidi"/>
      <w:b/>
      <w:bCs/>
      <w:sz w:val="32"/>
      <w:szCs w:val="32"/>
    </w:rPr>
  </w:style>
  <w:style w:type="paragraph" w:customStyle="1" w:styleId="23">
    <w:name w:val="Table Paragraph"/>
    <w:basedOn w:val="1"/>
    <w:qFormat/>
    <w:uiPriority w:val="1"/>
    <w:rPr>
      <w:rFonts w:ascii="宋体" w:hAnsi="宋体" w:cs="宋体"/>
      <w:lang w:val="zh-CN" w:bidi="zh-CN"/>
    </w:rPr>
  </w:style>
  <w:style w:type="character" w:customStyle="1" w:styleId="24">
    <w:name w:val="文档结构图 Char"/>
    <w:basedOn w:val="15"/>
    <w:link w:val="5"/>
    <w:semiHidden/>
    <w:qFormat/>
    <w:uiPriority w:val="99"/>
    <w:rPr>
      <w:rFonts w:ascii="宋体" w:hAnsi="Calibr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30</Pages>
  <Words>13505</Words>
  <Characters>3543</Characters>
  <Lines>29</Lines>
  <Paragraphs>34</Paragraphs>
  <TotalTime>128</TotalTime>
  <ScaleCrop>false</ScaleCrop>
  <LinksUpToDate>false</LinksUpToDate>
  <CharactersWithSpaces>17014</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2019-02-23T02:43:00Z</dcterms:created>
  <dc:creator>无非</dc:creator>
  <cp:lastModifiedBy>greatwall</cp:lastModifiedBy>
  <cp:lastPrinted>2020-04-08T18:07:00Z</cp:lastPrinted>
  <dcterms:modified xsi:type="dcterms:W3CDTF">2025-08-29T10:22:17Z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ies>
</file>