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3" w:line="188" w:lineRule="auto"/>
        <w:ind w:left="15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CSCR-2025-75004</w:t>
      </w:r>
    </w:p>
    <w:p>
      <w:pPr>
        <w:spacing w:line="343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spacing w:before="432" w:line="219" w:lineRule="auto"/>
        <w:jc w:val="right"/>
        <w:rPr>
          <w:rFonts w:ascii="宋体" w:hAnsi="宋体" w:eastAsia="宋体" w:cs="宋体"/>
          <w:sz w:val="133"/>
          <w:szCs w:val="133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2"/>
        <w:spacing w:before="97" w:line="222" w:lineRule="auto"/>
        <w:ind w:left="2989"/>
        <w:rPr>
          <w:sz w:val="30"/>
          <w:szCs w:val="30"/>
        </w:rPr>
      </w:pPr>
      <w:r>
        <w:rPr>
          <w:spacing w:val="20"/>
          <w:sz w:val="30"/>
          <w:szCs w:val="30"/>
        </w:rPr>
        <w:t>长市监发〔2025〕4号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56" w:line="219" w:lineRule="auto"/>
        <w:ind w:left="2370"/>
        <w:rPr>
          <w:rFonts w:ascii="宋体" w:hAnsi="宋体" w:eastAsia="宋体" w:cs="宋体"/>
          <w:sz w:val="48"/>
          <w:szCs w:val="48"/>
        </w:rPr>
      </w:pPr>
      <w:r>
        <w:rPr>
          <w:rFonts w:ascii="宋体" w:hAnsi="宋体" w:eastAsia="宋体" w:cs="宋体"/>
          <w:spacing w:val="-37"/>
          <w:sz w:val="48"/>
          <w:szCs w:val="48"/>
        </w:rPr>
        <w:t>长沙市市场监督管理局</w:t>
      </w:r>
    </w:p>
    <w:p>
      <w:pPr>
        <w:spacing w:before="30" w:line="219" w:lineRule="auto"/>
        <w:ind w:left="349"/>
        <w:rPr>
          <w:rFonts w:ascii="宋体" w:hAnsi="宋体" w:eastAsia="宋体" w:cs="宋体"/>
          <w:sz w:val="48"/>
          <w:szCs w:val="48"/>
        </w:rPr>
      </w:pPr>
      <w:r>
        <w:rPr>
          <w:rFonts w:ascii="宋体" w:hAnsi="宋体" w:eastAsia="宋体" w:cs="宋体"/>
          <w:spacing w:val="-36"/>
          <w:sz w:val="48"/>
          <w:szCs w:val="48"/>
        </w:rPr>
        <w:t>关于进一步规范经营许可审批管理有关事项</w:t>
      </w:r>
    </w:p>
    <w:p>
      <w:pPr>
        <w:spacing w:before="47" w:line="221" w:lineRule="auto"/>
        <w:ind w:left="3869"/>
        <w:rPr>
          <w:rFonts w:ascii="宋体" w:hAnsi="宋体" w:eastAsia="宋体" w:cs="宋体"/>
          <w:sz w:val="48"/>
          <w:szCs w:val="48"/>
        </w:rPr>
      </w:pPr>
      <w:r>
        <w:rPr>
          <w:rFonts w:ascii="宋体" w:hAnsi="宋体" w:eastAsia="宋体" w:cs="宋体"/>
          <w:spacing w:val="-13"/>
          <w:sz w:val="48"/>
          <w:szCs w:val="48"/>
        </w:rPr>
        <w:t>的通知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2"/>
        <w:spacing w:before="101" w:line="360" w:lineRule="auto"/>
        <w:ind w:left="159" w:right="110"/>
      </w:pPr>
      <w:r>
        <w:rPr>
          <w:spacing w:val="16"/>
        </w:rPr>
        <w:t>湖南湘江新区商务和市场监管局、各区县(市)市场监管局、芙</w:t>
      </w:r>
      <w:r>
        <w:rPr>
          <w:spacing w:val="15"/>
        </w:rPr>
        <w:t xml:space="preserve"> </w:t>
      </w:r>
      <w:r>
        <w:rPr>
          <w:spacing w:val="6"/>
        </w:rPr>
        <w:t>蓉区行政审批局，市局机关有关处室：</w:t>
      </w:r>
    </w:p>
    <w:p>
      <w:pPr>
        <w:pStyle w:val="2"/>
        <w:spacing w:before="1" w:line="352" w:lineRule="auto"/>
        <w:ind w:left="144" w:firstLine="654"/>
        <w:jc w:val="both"/>
      </w:pPr>
      <w:r>
        <w:rPr>
          <w:spacing w:val="4"/>
        </w:rPr>
        <w:t>为进一步规范食品、药品、医疗器械经营许可审批，促进市</w:t>
      </w:r>
      <w:r>
        <w:rPr>
          <w:spacing w:val="5"/>
        </w:rPr>
        <w:t xml:space="preserve"> </w:t>
      </w:r>
      <w:r>
        <w:rPr>
          <w:spacing w:val="7"/>
        </w:rPr>
        <w:t>场主体合规经营，根据《食品经营许可和备案管理办法》《</w:t>
      </w:r>
      <w:r>
        <w:rPr>
          <w:spacing w:val="6"/>
        </w:rPr>
        <w:t>药品</w:t>
      </w:r>
      <w:r>
        <w:t xml:space="preserve"> </w:t>
      </w:r>
      <w:r>
        <w:rPr>
          <w:spacing w:val="10"/>
        </w:rPr>
        <w:t>经营和使用质量监督管理办法》《医疗器械经营监督管理办</w:t>
      </w:r>
      <w:r>
        <w:rPr>
          <w:spacing w:val="9"/>
        </w:rPr>
        <w:t>法》</w:t>
      </w:r>
      <w:r>
        <w:t xml:space="preserve"> </w:t>
      </w:r>
      <w:r>
        <w:rPr>
          <w:spacing w:val="5"/>
        </w:rPr>
        <w:t>《湖南省食品经营许可和备案管理实施办法》等相关规定，现就</w:t>
      </w:r>
      <w:r>
        <w:rPr>
          <w:spacing w:val="4"/>
        </w:rPr>
        <w:t xml:space="preserve"> </w:t>
      </w:r>
      <w:r>
        <w:rPr>
          <w:spacing w:val="5"/>
        </w:rPr>
        <w:t>有关事项通知如下。</w:t>
      </w:r>
    </w:p>
    <w:p>
      <w:pPr>
        <w:spacing w:before="65" w:line="222" w:lineRule="auto"/>
        <w:ind w:left="804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b/>
          <w:bCs/>
          <w:spacing w:val="-4"/>
          <w:sz w:val="31"/>
          <w:szCs w:val="31"/>
        </w:rPr>
        <w:t>一</w:t>
      </w:r>
      <w:r>
        <w:rPr>
          <w:rFonts w:ascii="SimHei" w:hAnsi="SimHei" w:eastAsia="SimHei" w:cs="SimHei"/>
          <w:spacing w:val="-65"/>
          <w:sz w:val="31"/>
          <w:szCs w:val="31"/>
        </w:rPr>
        <w:t xml:space="preserve"> </w:t>
      </w:r>
      <w:r>
        <w:rPr>
          <w:rFonts w:ascii="SimHei" w:hAnsi="SimHei" w:eastAsia="SimHei" w:cs="SimHei"/>
          <w:b/>
          <w:bCs/>
          <w:spacing w:val="-4"/>
          <w:sz w:val="31"/>
          <w:szCs w:val="31"/>
        </w:rPr>
        <w:t>、共性要素条件审查</w:t>
      </w:r>
    </w:p>
    <w:p>
      <w:pPr>
        <w:pStyle w:val="2"/>
        <w:spacing w:before="235" w:line="220" w:lineRule="auto"/>
        <w:ind w:left="799"/>
      </w:pPr>
      <w:r>
        <w:rPr>
          <w:spacing w:val="21"/>
        </w:rPr>
        <w:t>1. 《营业执照》登记的住所(经营场所)与申请经营许可</w:t>
      </w:r>
    </w:p>
    <w:p>
      <w:pPr>
        <w:spacing w:line="220" w:lineRule="auto"/>
        <w:sectPr>
          <w:footerReference r:id="rId5" w:type="default"/>
          <w:pgSz w:w="11900" w:h="16820"/>
          <w:pgMar w:top="1189" w:right="1415" w:bottom="1635" w:left="1380" w:header="0" w:footer="1342" w:gutter="0"/>
          <w:cols w:space="720" w:num="1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2"/>
        <w:spacing w:before="101" w:line="352" w:lineRule="auto"/>
        <w:ind w:right="125"/>
        <w:jc w:val="both"/>
      </w:pPr>
      <w:r>
        <w:rPr>
          <w:spacing w:val="5"/>
        </w:rPr>
        <w:t>的经营场所一致的，提交产权证明文件，无需再提供合法使用证</w:t>
      </w:r>
      <w:r>
        <w:rPr>
          <w:spacing w:val="9"/>
        </w:rPr>
        <w:t xml:space="preserve"> </w:t>
      </w:r>
      <w:r>
        <w:rPr>
          <w:spacing w:val="16"/>
        </w:rPr>
        <w:t>明。《营业执照》登记的住所(经营场所)与申请许可的经营场</w:t>
      </w:r>
      <w:r>
        <w:rPr>
          <w:spacing w:val="15"/>
        </w:rPr>
        <w:t xml:space="preserve"> </w:t>
      </w:r>
      <w:r>
        <w:rPr>
          <w:spacing w:val="17"/>
        </w:rPr>
        <w:t>所不一致的，应当按照《湖南省放宽市场主体</w:t>
      </w:r>
      <w:r>
        <w:rPr>
          <w:spacing w:val="16"/>
        </w:rPr>
        <w:t>住所(经营场所)</w:t>
      </w:r>
      <w:r>
        <w:t xml:space="preserve"> </w:t>
      </w:r>
      <w:r>
        <w:rPr>
          <w:spacing w:val="4"/>
        </w:rPr>
        <w:t>登记条件的规定》等规定向市场主体登记机关申请办理分支机构</w:t>
      </w:r>
      <w:r>
        <w:rPr>
          <w:spacing w:val="11"/>
        </w:rPr>
        <w:t xml:space="preserve"> </w:t>
      </w:r>
      <w:r>
        <w:rPr>
          <w:spacing w:val="-1"/>
        </w:rPr>
        <w:t>登记或备案。</w:t>
      </w:r>
    </w:p>
    <w:p>
      <w:pPr>
        <w:pStyle w:val="2"/>
        <w:spacing w:before="47" w:line="288" w:lineRule="auto"/>
        <w:ind w:right="132" w:firstLine="639"/>
      </w:pPr>
      <w:r>
        <w:rPr>
          <w:rFonts w:ascii="宋体" w:hAnsi="宋体" w:eastAsia="宋体" w:cs="宋体"/>
          <w:spacing w:val="9"/>
        </w:rPr>
        <w:t>2.</w:t>
      </w:r>
      <w:r>
        <w:rPr>
          <w:rFonts w:ascii="宋体" w:hAnsi="宋体" w:eastAsia="宋体" w:cs="宋体"/>
          <w:spacing w:val="52"/>
        </w:rPr>
        <w:t xml:space="preserve"> </w:t>
      </w:r>
      <w:r>
        <w:rPr>
          <w:spacing w:val="9"/>
        </w:rPr>
        <w:t>住所、经营场所、仓库地址不一致的，由经营场所所在</w:t>
      </w:r>
      <w:r>
        <w:t xml:space="preserve"> </w:t>
      </w:r>
      <w:r>
        <w:rPr>
          <w:spacing w:val="5"/>
        </w:rPr>
        <w:t>地的市场监督管理部门负责经营许可审批。</w:t>
      </w:r>
    </w:p>
    <w:p>
      <w:pPr>
        <w:pStyle w:val="2"/>
        <w:spacing w:before="233" w:line="308" w:lineRule="auto"/>
        <w:ind w:right="123" w:firstLine="639"/>
      </w:pPr>
      <w:r>
        <w:rPr>
          <w:rFonts w:ascii="宋体" w:hAnsi="宋体" w:eastAsia="宋体" w:cs="宋体"/>
          <w:spacing w:val="9"/>
        </w:rPr>
        <w:t>3.</w:t>
      </w:r>
      <w:r>
        <w:rPr>
          <w:rFonts w:ascii="宋体" w:hAnsi="宋体" w:eastAsia="宋体" w:cs="宋体"/>
          <w:spacing w:val="63"/>
        </w:rPr>
        <w:t xml:space="preserve"> </w:t>
      </w:r>
      <w:r>
        <w:rPr>
          <w:spacing w:val="9"/>
        </w:rPr>
        <w:t>对因许可权限调整改变许可机关的，申请办理生产</w:t>
      </w:r>
      <w:r>
        <w:rPr>
          <w:spacing w:val="8"/>
        </w:rPr>
        <w:t>经营</w:t>
      </w:r>
      <w:r>
        <w:t xml:space="preserve"> </w:t>
      </w:r>
      <w:r>
        <w:rPr>
          <w:spacing w:val="4"/>
        </w:rPr>
        <w:t>许可变更事项的，依法直接办理变更事项，无需先注销再按新开</w:t>
      </w:r>
      <w:r>
        <w:t xml:space="preserve"> 办申请办理许可。</w:t>
      </w:r>
    </w:p>
    <w:p>
      <w:pPr>
        <w:pStyle w:val="2"/>
        <w:spacing w:before="260" w:line="284" w:lineRule="auto"/>
        <w:ind w:right="128" w:firstLine="639"/>
      </w:pPr>
      <w:r>
        <w:rPr>
          <w:rFonts w:ascii="宋体" w:hAnsi="宋体" w:eastAsia="宋体" w:cs="宋体"/>
          <w:spacing w:val="11"/>
        </w:rPr>
        <w:t xml:space="preserve">4. </w:t>
      </w:r>
      <w:r>
        <w:rPr>
          <w:spacing w:val="11"/>
        </w:rPr>
        <w:t>不能提供房屋面积证明材料的，按照实</w:t>
      </w:r>
      <w:r>
        <w:rPr>
          <w:spacing w:val="10"/>
        </w:rPr>
        <w:t>际测量的使用面</w:t>
      </w:r>
      <w:r>
        <w:t xml:space="preserve"> </w:t>
      </w:r>
      <w:r>
        <w:rPr>
          <w:spacing w:val="1"/>
        </w:rPr>
        <w:t>积计算。</w:t>
      </w:r>
    </w:p>
    <w:p>
      <w:pPr>
        <w:spacing w:before="245" w:line="221" w:lineRule="auto"/>
        <w:ind w:left="644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b/>
          <w:bCs/>
          <w:spacing w:val="6"/>
          <w:sz w:val="31"/>
          <w:szCs w:val="31"/>
        </w:rPr>
        <w:t>二、经营许可分类审核</w:t>
      </w:r>
    </w:p>
    <w:p>
      <w:pPr>
        <w:spacing w:before="207" w:line="228" w:lineRule="auto"/>
        <w:ind w:left="790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pacing w:val="26"/>
          <w:sz w:val="31"/>
          <w:szCs w:val="31"/>
        </w:rPr>
        <w:t>(</w:t>
      </w:r>
      <w:r>
        <w:rPr>
          <w:rFonts w:ascii="KaiTi" w:hAnsi="KaiTi" w:eastAsia="KaiTi" w:cs="KaiTi"/>
          <w:spacing w:val="-84"/>
          <w:sz w:val="31"/>
          <w:szCs w:val="31"/>
        </w:rPr>
        <w:t xml:space="preserve"> </w:t>
      </w:r>
      <w:r>
        <w:rPr>
          <w:rFonts w:ascii="KaiTi" w:hAnsi="KaiTi" w:eastAsia="KaiTi" w:cs="KaiTi"/>
          <w:spacing w:val="26"/>
          <w:sz w:val="31"/>
          <w:szCs w:val="31"/>
        </w:rPr>
        <w:t>一)食品经营</w:t>
      </w:r>
    </w:p>
    <w:p>
      <w:pPr>
        <w:pStyle w:val="2"/>
        <w:spacing w:before="231" w:line="221" w:lineRule="auto"/>
        <w:ind w:left="639"/>
      </w:pPr>
      <w:r>
        <w:rPr>
          <w:rFonts w:ascii="宋体" w:hAnsi="宋体" w:eastAsia="宋体" w:cs="宋体"/>
          <w:spacing w:val="6"/>
        </w:rPr>
        <w:t xml:space="preserve">1. </w:t>
      </w:r>
      <w:r>
        <w:rPr>
          <w:spacing w:val="6"/>
        </w:rPr>
        <w:t>仅销售预包装食品的，应当办理预包装食品销售</w:t>
      </w:r>
      <w:r>
        <w:rPr>
          <w:spacing w:val="5"/>
        </w:rPr>
        <w:t>备案。</w:t>
      </w:r>
    </w:p>
    <w:p>
      <w:pPr>
        <w:pStyle w:val="2"/>
        <w:spacing w:before="235" w:line="330" w:lineRule="auto"/>
        <w:ind w:firstLine="639"/>
      </w:pPr>
      <w:r>
        <w:rPr>
          <w:rFonts w:ascii="宋体" w:hAnsi="宋体" w:eastAsia="宋体" w:cs="宋体"/>
          <w:spacing w:val="11"/>
        </w:rPr>
        <w:t xml:space="preserve">2. </w:t>
      </w:r>
      <w:r>
        <w:rPr>
          <w:spacing w:val="11"/>
        </w:rPr>
        <w:t>学校等集中用餐单位食堂应以机关或者事业单位法人登</w:t>
      </w:r>
      <w:r>
        <w:rPr>
          <w:spacing w:val="6"/>
        </w:rPr>
        <w:t xml:space="preserve"> </w:t>
      </w:r>
      <w:r>
        <w:rPr>
          <w:spacing w:val="10"/>
        </w:rPr>
        <w:t>记证、社会团体登记证或者营业执照等载明的主体作为申请人，</w:t>
      </w:r>
      <w:r>
        <w:rPr>
          <w:spacing w:val="3"/>
        </w:rPr>
        <w:t xml:space="preserve"> </w:t>
      </w:r>
      <w:r>
        <w:rPr>
          <w:spacing w:val="5"/>
        </w:rPr>
        <w:t>依法取得食品经营许可证。同一单位有多个食堂的，应当分别取</w:t>
      </w:r>
      <w:r>
        <w:rPr>
          <w:spacing w:val="4"/>
        </w:rPr>
        <w:t xml:space="preserve">  得食品经营许可，《食品经营许可证》载明的“经营者名称、统</w:t>
      </w:r>
      <w:r>
        <w:t xml:space="preserve">  </w:t>
      </w:r>
      <w:r>
        <w:rPr>
          <w:spacing w:val="15"/>
        </w:rPr>
        <w:t>一社会信用代码、法定代表人(负责人)、住所”事项应与机关</w:t>
      </w:r>
      <w:r>
        <w:rPr>
          <w:spacing w:val="1"/>
        </w:rPr>
        <w:t xml:space="preserve">  </w:t>
      </w:r>
      <w:r>
        <w:rPr>
          <w:spacing w:val="4"/>
        </w:rPr>
        <w:t>或者事业单位法人登记证、社会团体登记证或者营业执照载明的</w:t>
      </w:r>
    </w:p>
    <w:p>
      <w:pPr>
        <w:spacing w:line="330" w:lineRule="auto"/>
        <w:sectPr>
          <w:footerReference r:id="rId6" w:type="default"/>
          <w:pgSz w:w="11900" w:h="16820"/>
          <w:pgMar w:top="1429" w:right="1395" w:bottom="1706" w:left="1539" w:header="0" w:footer="1301" w:gutter="0"/>
          <w:cols w:space="720" w:num="1"/>
        </w:sectPr>
      </w:pPr>
    </w:p>
    <w:p>
      <w:pPr>
        <w:spacing w:line="336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pStyle w:val="2"/>
        <w:spacing w:before="101" w:line="378" w:lineRule="auto"/>
        <w:rPr>
          <w:sz w:val="27"/>
          <w:szCs w:val="27"/>
        </w:rPr>
      </w:pPr>
      <w:r>
        <w:rPr>
          <w:spacing w:val="3"/>
        </w:rPr>
        <w:t>内容相一致。《食品经营许可证》上“经营者名称”“经营场所”</w:t>
      </w:r>
      <w:r>
        <w:rPr>
          <w:spacing w:val="8"/>
        </w:rPr>
        <w:t xml:space="preserve"> </w:t>
      </w:r>
      <w:r>
        <w:rPr>
          <w:spacing w:val="29"/>
          <w:sz w:val="27"/>
          <w:szCs w:val="27"/>
        </w:rPr>
        <w:t>应作细化。</w:t>
      </w:r>
    </w:p>
    <w:p>
      <w:pPr>
        <w:spacing w:before="9" w:line="229" w:lineRule="auto"/>
        <w:ind w:left="750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pacing w:val="36"/>
          <w:sz w:val="31"/>
          <w:szCs w:val="31"/>
        </w:rPr>
        <w:t>(二)药品经营</w:t>
      </w:r>
    </w:p>
    <w:p>
      <w:pPr>
        <w:pStyle w:val="2"/>
        <w:spacing w:before="220" w:line="285" w:lineRule="auto"/>
        <w:ind w:right="229" w:firstLine="629"/>
      </w:pPr>
      <w:r>
        <w:rPr>
          <w:rFonts w:ascii="宋体" w:hAnsi="宋体" w:eastAsia="宋体" w:cs="宋体"/>
          <w:spacing w:val="10"/>
        </w:rPr>
        <w:t>1.</w:t>
      </w:r>
      <w:r>
        <w:rPr>
          <w:rFonts w:ascii="宋体" w:hAnsi="宋体" w:eastAsia="宋体" w:cs="宋体"/>
          <w:spacing w:val="61"/>
        </w:rPr>
        <w:t xml:space="preserve"> </w:t>
      </w:r>
      <w:r>
        <w:rPr>
          <w:spacing w:val="10"/>
        </w:rPr>
        <w:t>药品零售企业医疗器械质量负责人、质量管理人员可由</w:t>
      </w:r>
      <w:r>
        <w:t xml:space="preserve"> </w:t>
      </w:r>
      <w:r>
        <w:rPr>
          <w:spacing w:val="3"/>
        </w:rPr>
        <w:t>符合条件的门店员工兼任。</w:t>
      </w:r>
    </w:p>
    <w:p>
      <w:pPr>
        <w:pStyle w:val="2"/>
        <w:spacing w:before="244" w:line="345" w:lineRule="auto"/>
        <w:ind w:right="141" w:firstLine="629"/>
      </w:pPr>
      <w:r>
        <w:rPr>
          <w:rFonts w:ascii="宋体" w:hAnsi="宋体" w:eastAsia="宋体" w:cs="宋体"/>
          <w:spacing w:val="9"/>
        </w:rPr>
        <w:t xml:space="preserve">2. </w:t>
      </w:r>
      <w:r>
        <w:rPr>
          <w:spacing w:val="9"/>
        </w:rPr>
        <w:t>开展远程审方的药品零售连锁企业新开办连锁门店的，</w:t>
      </w:r>
      <w:r>
        <w:rPr>
          <w:spacing w:val="8"/>
        </w:rPr>
        <w:t xml:space="preserve">  </w:t>
      </w:r>
      <w:r>
        <w:rPr>
          <w:spacing w:val="6"/>
        </w:rPr>
        <w:t>门店法定代表人或者企业负责人必须具备执业</w:t>
      </w:r>
      <w:r>
        <w:rPr>
          <w:spacing w:val="5"/>
        </w:rPr>
        <w:t>药师资格，每家门</w:t>
      </w:r>
      <w:r>
        <w:t xml:space="preserve"> </w:t>
      </w:r>
      <w:r>
        <w:rPr>
          <w:spacing w:val="23"/>
        </w:rPr>
        <w:t>店至少配备1名执业药师或依法经过资格认</w:t>
      </w:r>
      <w:r>
        <w:rPr>
          <w:spacing w:val="22"/>
        </w:rPr>
        <w:t>定的其他药学技术</w:t>
      </w:r>
      <w:r>
        <w:t xml:space="preserve"> </w:t>
      </w:r>
      <w:r>
        <w:rPr>
          <w:spacing w:val="5"/>
        </w:rPr>
        <w:t>人员。未开展远程审方的，按照新开办单体药品零售企业进行配</w:t>
      </w:r>
      <w:r>
        <w:rPr>
          <w:spacing w:val="10"/>
        </w:rPr>
        <w:t xml:space="preserve"> </w:t>
      </w:r>
      <w:r>
        <w:rPr>
          <w:spacing w:val="5"/>
        </w:rPr>
        <w:t>备，新开办单体药品零售企业的配备要求：企业法定代表人或者</w:t>
      </w:r>
      <w:r>
        <w:rPr>
          <w:spacing w:val="13"/>
        </w:rPr>
        <w:t xml:space="preserve"> </w:t>
      </w:r>
      <w:r>
        <w:rPr>
          <w:spacing w:val="5"/>
        </w:rPr>
        <w:t>企业负责人应当具备执业药师资格，同时应当配备执业药师负责</w:t>
      </w:r>
      <w:r>
        <w:rPr>
          <w:spacing w:val="17"/>
        </w:rPr>
        <w:t xml:space="preserve"> </w:t>
      </w:r>
      <w:r>
        <w:rPr>
          <w:spacing w:val="-2"/>
        </w:rPr>
        <w:t>处方审核和指导合理用药工作。经营范围有中药材、中药饮片的，</w:t>
      </w:r>
      <w:r>
        <w:rPr>
          <w:spacing w:val="12"/>
        </w:rPr>
        <w:t xml:space="preserve"> </w:t>
      </w:r>
      <w:r>
        <w:rPr>
          <w:spacing w:val="11"/>
        </w:rPr>
        <w:t>应当配备执业中药师(如执业药师为双证药师，应再配备</w:t>
      </w:r>
      <w:r>
        <w:rPr>
          <w:spacing w:val="10"/>
        </w:rPr>
        <w:t>一名依</w:t>
      </w:r>
      <w:r>
        <w:t xml:space="preserve"> </w:t>
      </w:r>
      <w:r>
        <w:rPr>
          <w:spacing w:val="10"/>
        </w:rPr>
        <w:t>法经过资格认定的其他药学技术人员)。经营范围不含中药饮片</w:t>
      </w:r>
      <w:r>
        <w:rPr>
          <w:spacing w:val="13"/>
        </w:rPr>
        <w:t xml:space="preserve"> </w:t>
      </w:r>
      <w:r>
        <w:rPr>
          <w:spacing w:val="4"/>
        </w:rPr>
        <w:t xml:space="preserve">的，应当至少配备一名依法经过资格认定的其他药学技术人员负  </w:t>
      </w:r>
      <w:r>
        <w:rPr>
          <w:spacing w:val="2"/>
        </w:rPr>
        <w:t>责处方调配、核对。</w:t>
      </w:r>
    </w:p>
    <w:p>
      <w:pPr>
        <w:pStyle w:val="2"/>
        <w:spacing w:before="258" w:line="329" w:lineRule="auto"/>
        <w:ind w:right="201" w:firstLine="629"/>
      </w:pPr>
      <w:r>
        <w:rPr>
          <w:rFonts w:ascii="宋体" w:hAnsi="宋体" w:eastAsia="宋体" w:cs="宋体"/>
          <w:spacing w:val="23"/>
        </w:rPr>
        <w:t xml:space="preserve">3. </w:t>
      </w:r>
      <w:r>
        <w:rPr>
          <w:spacing w:val="23"/>
        </w:rPr>
        <w:t>设在城区(含县城所在地)的单体药店，其注册地址单</w:t>
      </w:r>
      <w:r>
        <w:rPr>
          <w:spacing w:val="4"/>
        </w:rPr>
        <w:t xml:space="preserve"> </w:t>
      </w:r>
      <w:r>
        <w:rPr>
          <w:spacing w:val="16"/>
        </w:rPr>
        <w:t>一平面经营建筑面积应当不小于70平方米</w:t>
      </w:r>
      <w:r>
        <w:rPr>
          <w:spacing w:val="15"/>
        </w:rPr>
        <w:t>，设在农村乡镇区域</w:t>
      </w:r>
      <w:r>
        <w:t xml:space="preserve"> </w:t>
      </w:r>
      <w:r>
        <w:rPr>
          <w:spacing w:val="17"/>
        </w:rPr>
        <w:t>的单体药店，其注册地址单一平面经营建筑面积应当不小于50</w:t>
      </w:r>
      <w:r>
        <w:t xml:space="preserve"> </w:t>
      </w:r>
      <w:r>
        <w:rPr>
          <w:spacing w:val="18"/>
        </w:rPr>
        <w:t>平方米；设在城区(含县城所在地)的药品零售连锁企业门店，</w:t>
      </w:r>
      <w:r>
        <w:rPr>
          <w:spacing w:val="10"/>
        </w:rPr>
        <w:t xml:space="preserve"> </w:t>
      </w:r>
      <w:r>
        <w:rPr>
          <w:spacing w:val="16"/>
        </w:rPr>
        <w:t>其注册地址单一平面经营建筑面积应当不小于50平方米，设在</w:t>
      </w:r>
    </w:p>
    <w:p>
      <w:pPr>
        <w:spacing w:line="329" w:lineRule="auto"/>
        <w:sectPr>
          <w:footerReference r:id="rId7" w:type="default"/>
          <w:pgSz w:w="11900" w:h="16820"/>
          <w:pgMar w:top="1429" w:right="1273" w:bottom="1743" w:left="1539" w:header="0" w:footer="1224" w:gutter="0"/>
          <w:cols w:space="720" w:num="1"/>
        </w:sectPr>
      </w:pPr>
    </w:p>
    <w:p>
      <w:pPr>
        <w:spacing w:line="340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pStyle w:val="2"/>
        <w:spacing w:before="101" w:line="357" w:lineRule="auto"/>
        <w:ind w:left="4" w:right="63"/>
      </w:pPr>
      <w:r>
        <w:rPr>
          <w:spacing w:val="4"/>
        </w:rPr>
        <w:t>农村乡镇区域的药品零售连锁企业门店，其注册地址单一平面经</w:t>
      </w:r>
      <w:r>
        <w:rPr>
          <w:spacing w:val="18"/>
        </w:rPr>
        <w:t xml:space="preserve"> </w:t>
      </w:r>
      <w:r>
        <w:rPr>
          <w:spacing w:val="14"/>
        </w:rPr>
        <w:t>营建筑面积应当不小于40平方米。</w:t>
      </w:r>
    </w:p>
    <w:p>
      <w:pPr>
        <w:pStyle w:val="2"/>
        <w:spacing w:before="6" w:line="357" w:lineRule="auto"/>
        <w:ind w:left="4" w:right="61" w:firstLine="640"/>
        <w:jc w:val="both"/>
      </w:pPr>
      <w:r>
        <w:rPr>
          <w:rFonts w:ascii="宋体" w:hAnsi="宋体" w:eastAsia="宋体" w:cs="宋体"/>
          <w:spacing w:val="10"/>
        </w:rPr>
        <w:t xml:space="preserve">4. </w:t>
      </w:r>
      <w:r>
        <w:rPr>
          <w:spacing w:val="10"/>
        </w:rPr>
        <w:t>在超市等其他商业企业内设置的药品零售企业，应</w:t>
      </w:r>
      <w:r>
        <w:rPr>
          <w:spacing w:val="9"/>
        </w:rPr>
        <w:t>有独</w:t>
      </w:r>
      <w:r>
        <w:t xml:space="preserve"> </w:t>
      </w:r>
      <w:r>
        <w:rPr>
          <w:spacing w:val="3"/>
        </w:rPr>
        <w:t>立的营业区，面积计算以明确的隔断为界限，营业区域单一平面</w:t>
      </w:r>
      <w:r>
        <w:rPr>
          <w:spacing w:val="11"/>
        </w:rPr>
        <w:t xml:space="preserve"> </w:t>
      </w:r>
      <w:r>
        <w:rPr>
          <w:spacing w:val="16"/>
        </w:rPr>
        <w:t>经营建筑面积应当不少于50平方米；不经</w:t>
      </w:r>
      <w:r>
        <w:rPr>
          <w:spacing w:val="15"/>
        </w:rPr>
        <w:t>营中药饮片的，营业</w:t>
      </w:r>
      <w:r>
        <w:t xml:space="preserve"> </w:t>
      </w:r>
      <w:r>
        <w:rPr>
          <w:spacing w:val="12"/>
        </w:rPr>
        <w:t>区域的单一平面经营建筑面积应当不少于30</w:t>
      </w:r>
      <w:r>
        <w:rPr>
          <w:spacing w:val="11"/>
        </w:rPr>
        <w:t>平方米。</w:t>
      </w:r>
    </w:p>
    <w:p>
      <w:pPr>
        <w:pStyle w:val="2"/>
        <w:spacing w:before="8" w:line="358" w:lineRule="auto"/>
        <w:ind w:left="4" w:firstLine="640"/>
        <w:jc w:val="both"/>
      </w:pPr>
      <w:r>
        <w:rPr>
          <w:rFonts w:ascii="宋体" w:hAnsi="宋体" w:eastAsia="宋体" w:cs="宋体"/>
          <w:spacing w:val="10"/>
        </w:rPr>
        <w:t xml:space="preserve">5. </w:t>
      </w:r>
      <w:r>
        <w:rPr>
          <w:spacing w:val="10"/>
        </w:rPr>
        <w:t>本市药品零售连锁企业可依托下属门店，离店设置自动</w:t>
      </w:r>
      <w:r>
        <w:rPr>
          <w:spacing w:val="4"/>
        </w:rPr>
        <w:t xml:space="preserve"> </w:t>
      </w:r>
      <w:r>
        <w:rPr>
          <w:spacing w:val="7"/>
        </w:rPr>
        <w:t>售药机。离店设置的自动售药机作为药品零售经营场所的延</w:t>
      </w:r>
      <w:r>
        <w:rPr>
          <w:spacing w:val="6"/>
        </w:rPr>
        <w:t>伸，</w:t>
      </w:r>
      <w:r>
        <w:t xml:space="preserve"> </w:t>
      </w:r>
      <w:r>
        <w:rPr>
          <w:spacing w:val="4"/>
        </w:rPr>
        <w:t>其设置位置、数量等应当与企业的管理能力相适应，</w:t>
      </w:r>
      <w:r>
        <w:rPr>
          <w:spacing w:val="3"/>
        </w:rPr>
        <w:t>药品类销售</w:t>
      </w:r>
      <w:r>
        <w:t xml:space="preserve"> </w:t>
      </w:r>
      <w:r>
        <w:rPr>
          <w:spacing w:val="5"/>
        </w:rPr>
        <w:t>仅限于乙类非处方药，具体场所应当在实体门店药品经营许可证</w:t>
      </w:r>
      <w:r>
        <w:rPr>
          <w:spacing w:val="9"/>
        </w:rPr>
        <w:t xml:space="preserve"> </w:t>
      </w:r>
      <w:r>
        <w:rPr>
          <w:spacing w:val="4"/>
        </w:rPr>
        <w:t>“经营地址”项下注明。</w:t>
      </w:r>
    </w:p>
    <w:p>
      <w:pPr>
        <w:pStyle w:val="2"/>
        <w:spacing w:before="15" w:line="352" w:lineRule="auto"/>
        <w:ind w:left="4" w:right="31" w:firstLine="640"/>
      </w:pPr>
      <w:r>
        <w:rPr>
          <w:rFonts w:ascii="宋体" w:hAnsi="宋体" w:eastAsia="宋体" w:cs="宋体"/>
          <w:spacing w:val="11"/>
        </w:rPr>
        <w:t xml:space="preserve">6. </w:t>
      </w:r>
      <w:r>
        <w:rPr>
          <w:spacing w:val="11"/>
        </w:rPr>
        <w:t>依据《药品经营和使用质量监督管理办法》规定，新申</w:t>
      </w:r>
      <w:r>
        <w:t xml:space="preserve"> </w:t>
      </w:r>
      <w:r>
        <w:rPr>
          <w:spacing w:val="5"/>
        </w:rPr>
        <w:t>请的药品零售经营许可申请人为企业。</w:t>
      </w:r>
    </w:p>
    <w:p>
      <w:pPr>
        <w:spacing w:line="226" w:lineRule="auto"/>
        <w:ind w:left="794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pacing w:val="28"/>
          <w:sz w:val="31"/>
          <w:szCs w:val="31"/>
        </w:rPr>
        <w:t>(三)医疗器械经营</w:t>
      </w:r>
    </w:p>
    <w:p>
      <w:pPr>
        <w:pStyle w:val="2"/>
        <w:spacing w:before="211" w:line="357" w:lineRule="auto"/>
        <w:ind w:right="47" w:firstLine="645"/>
        <w:jc w:val="both"/>
      </w:pPr>
      <w:r>
        <w:rPr>
          <w:rFonts w:ascii="宋体" w:hAnsi="宋体" w:eastAsia="宋体" w:cs="宋体"/>
          <w:spacing w:val="10"/>
        </w:rPr>
        <w:t xml:space="preserve">1. </w:t>
      </w:r>
      <w:r>
        <w:rPr>
          <w:spacing w:val="10"/>
        </w:rPr>
        <w:t>从事第二类、第三类医疗器械经营的，除应当具备符合</w:t>
      </w:r>
      <w:r>
        <w:rPr>
          <w:spacing w:val="11"/>
        </w:rPr>
        <w:t xml:space="preserve"> </w:t>
      </w:r>
      <w:r>
        <w:rPr>
          <w:spacing w:val="5"/>
        </w:rPr>
        <w:t>《医疗器械经营监督管理办法》第九条设定的条</w:t>
      </w:r>
      <w:r>
        <w:rPr>
          <w:spacing w:val="4"/>
        </w:rPr>
        <w:t>件，经营场所和</w:t>
      </w:r>
      <w:r>
        <w:t xml:space="preserve"> </w:t>
      </w:r>
      <w:r>
        <w:rPr>
          <w:spacing w:val="16"/>
        </w:rPr>
        <w:t>库房还应当符合以下要求：经营(批发)体外诊断试剂的，经营</w:t>
      </w:r>
      <w:r>
        <w:rPr>
          <w:spacing w:val="7"/>
        </w:rPr>
        <w:t xml:space="preserve"> </w:t>
      </w:r>
      <w:r>
        <w:rPr>
          <w:spacing w:val="21"/>
        </w:rPr>
        <w:t>场所建筑面积不得少于100平方米，库房建筑面积不得少于60</w:t>
      </w:r>
      <w:r>
        <w:rPr>
          <w:spacing w:val="7"/>
        </w:rPr>
        <w:t xml:space="preserve"> </w:t>
      </w:r>
      <w:r>
        <w:rPr>
          <w:spacing w:val="16"/>
        </w:rPr>
        <w:t>平方米。经营(批发)除体外诊断试剂外的其他医疗器械</w:t>
      </w:r>
      <w:r>
        <w:rPr>
          <w:spacing w:val="15"/>
        </w:rPr>
        <w:t>的，其</w:t>
      </w:r>
      <w:r>
        <w:t xml:space="preserve"> </w:t>
      </w:r>
      <w:r>
        <w:rPr>
          <w:spacing w:val="16"/>
        </w:rPr>
        <w:t>库房和办公建筑面积不得少于80平方米，其中库房建筑面积不</w:t>
      </w:r>
      <w:r>
        <w:rPr>
          <w:spacing w:val="4"/>
        </w:rPr>
        <w:t xml:space="preserve"> </w:t>
      </w:r>
      <w:r>
        <w:rPr>
          <w:spacing w:val="27"/>
        </w:rPr>
        <w:t>得少于40平方米。经营(批发)冷链管理医疗器械的，应配备</w:t>
      </w:r>
    </w:p>
    <w:p>
      <w:pPr>
        <w:spacing w:line="357" w:lineRule="auto"/>
        <w:sectPr>
          <w:footerReference r:id="rId8" w:type="default"/>
          <w:pgSz w:w="11900" w:h="16820"/>
          <w:pgMar w:top="1429" w:right="1414" w:bottom="1726" w:left="1605" w:header="0" w:footer="1321" w:gutter="0"/>
          <w:cols w:space="720" w:num="1"/>
        </w:sectPr>
      </w:pPr>
    </w:p>
    <w:p>
      <w:pPr>
        <w:spacing w:line="351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pStyle w:val="2"/>
        <w:spacing w:before="101" w:line="358" w:lineRule="auto"/>
        <w:jc w:val="both"/>
      </w:pPr>
      <w:r>
        <w:rPr>
          <w:spacing w:val="16"/>
        </w:rPr>
        <w:t>冷库，冷库容积不得少于20立方米，冷库占用面积可以计算在</w:t>
      </w:r>
      <w:r>
        <w:rPr>
          <w:spacing w:val="13"/>
        </w:rPr>
        <w:t xml:space="preserve"> </w:t>
      </w:r>
      <w:r>
        <w:rPr>
          <w:spacing w:val="10"/>
        </w:rPr>
        <w:t>库房面积内。专营医疗器械软件或者医用磁共振、医</w:t>
      </w:r>
      <w:r>
        <w:rPr>
          <w:spacing w:val="9"/>
        </w:rPr>
        <w:t>用</w:t>
      </w:r>
      <w:r>
        <w:rPr>
          <w:rFonts w:ascii="宋体" w:hAnsi="宋体" w:eastAsia="宋体" w:cs="宋体"/>
          <w:spacing w:val="9"/>
        </w:rPr>
        <w:t xml:space="preserve">X </w:t>
      </w:r>
      <w:r>
        <w:rPr>
          <w:spacing w:val="9"/>
        </w:rPr>
        <w:t>射线、</w:t>
      </w:r>
      <w:r>
        <w:t xml:space="preserve"> </w:t>
      </w:r>
      <w:r>
        <w:rPr>
          <w:spacing w:val="4"/>
        </w:rPr>
        <w:t xml:space="preserve">医用射线、医用核素设备等大型医用设备的，或者将医疗器械产  </w:t>
      </w:r>
      <w:r>
        <w:rPr>
          <w:spacing w:val="5"/>
        </w:rPr>
        <w:t>品委托给“为其他医疗器械生产经营企业提供贮存、配送服务企</w:t>
      </w:r>
      <w:r>
        <w:rPr>
          <w:spacing w:val="10"/>
        </w:rPr>
        <w:t xml:space="preserve"> </w:t>
      </w:r>
      <w:r>
        <w:rPr>
          <w:spacing w:val="5"/>
        </w:rPr>
        <w:t>业”的，可以不单独设立医疗器械库房，经营场所建筑面积不得</w:t>
      </w:r>
      <w:r>
        <w:rPr>
          <w:spacing w:val="4"/>
        </w:rPr>
        <w:t xml:space="preserve">  </w:t>
      </w:r>
      <w:r>
        <w:rPr>
          <w:spacing w:val="21"/>
        </w:rPr>
        <w:t>少于40平方米。</w:t>
      </w:r>
    </w:p>
    <w:p>
      <w:pPr>
        <w:pStyle w:val="2"/>
        <w:spacing w:before="2" w:line="307" w:lineRule="auto"/>
        <w:ind w:right="74" w:firstLine="629"/>
      </w:pPr>
      <w:r>
        <w:rPr>
          <w:rFonts w:ascii="宋体" w:hAnsi="宋体" w:eastAsia="宋体" w:cs="宋体"/>
          <w:spacing w:val="16"/>
        </w:rPr>
        <w:t>2.</w:t>
      </w:r>
      <w:r>
        <w:rPr>
          <w:rFonts w:ascii="宋体" w:hAnsi="宋体" w:eastAsia="宋体" w:cs="宋体"/>
          <w:spacing w:val="-61"/>
        </w:rPr>
        <w:t xml:space="preserve"> </w:t>
      </w:r>
      <w:r>
        <w:rPr>
          <w:spacing w:val="16"/>
        </w:rPr>
        <w:t>已委托同一法定代表人的药品批发公司贮存、配送药品</w:t>
      </w:r>
      <w:r>
        <w:t xml:space="preserve"> </w:t>
      </w:r>
      <w:r>
        <w:rPr>
          <w:spacing w:val="6"/>
        </w:rPr>
        <w:t>的药品经营连锁公司申请医疗器械经营许可，</w:t>
      </w:r>
      <w:r>
        <w:rPr>
          <w:spacing w:val="5"/>
        </w:rPr>
        <w:t>可委托同一法定代</w:t>
      </w:r>
      <w:r>
        <w:t xml:space="preserve"> </w:t>
      </w:r>
      <w:r>
        <w:rPr>
          <w:spacing w:val="7"/>
        </w:rPr>
        <w:t>表人的药品批发公司贮存、配送医疗器械产品。</w:t>
      </w:r>
    </w:p>
    <w:p>
      <w:pPr>
        <w:pStyle w:val="2"/>
        <w:spacing w:before="273" w:line="308" w:lineRule="auto"/>
        <w:ind w:right="105" w:firstLine="629"/>
      </w:pPr>
      <w:r>
        <w:rPr>
          <w:rFonts w:ascii="宋体" w:hAnsi="宋体" w:eastAsia="宋体" w:cs="宋体"/>
          <w:spacing w:val="12"/>
        </w:rPr>
        <w:t xml:space="preserve">3. </w:t>
      </w:r>
      <w:r>
        <w:rPr>
          <w:spacing w:val="12"/>
        </w:rPr>
        <w:t>质量负责人、质量管理人员应当在职在岗，并履行岗位</w:t>
      </w:r>
      <w:r>
        <w:t xml:space="preserve"> </w:t>
      </w:r>
      <w:r>
        <w:rPr>
          <w:spacing w:val="5"/>
        </w:rPr>
        <w:t>职责。质量负责人、质量管理人员调整变更的，通过长沙市商事</w:t>
      </w:r>
      <w:r>
        <w:rPr>
          <w:spacing w:val="15"/>
        </w:rPr>
        <w:t xml:space="preserve"> </w:t>
      </w:r>
      <w:r>
        <w:rPr>
          <w:spacing w:val="6"/>
        </w:rPr>
        <w:t>信息服务平台进行信息报备。</w:t>
      </w:r>
    </w:p>
    <w:p>
      <w:pPr>
        <w:pStyle w:val="2"/>
        <w:spacing w:before="268" w:line="308" w:lineRule="auto"/>
        <w:ind w:right="60" w:firstLine="629"/>
      </w:pPr>
      <w:r>
        <w:rPr>
          <w:rFonts w:ascii="宋体" w:hAnsi="宋体" w:eastAsia="宋体" w:cs="宋体"/>
          <w:spacing w:val="12"/>
        </w:rPr>
        <w:t xml:space="preserve">4. </w:t>
      </w:r>
      <w:r>
        <w:rPr>
          <w:spacing w:val="12"/>
        </w:rPr>
        <w:t>从事医疗器械网络销售的，应当通过长沙市商事信息服</w:t>
      </w:r>
      <w:r>
        <w:t xml:space="preserve"> </w:t>
      </w:r>
      <w:r>
        <w:rPr>
          <w:spacing w:val="8"/>
        </w:rPr>
        <w:t>务平台将从事医疗器械网络销售的相关信息告知市场监管部门。</w:t>
      </w:r>
      <w:r>
        <w:t xml:space="preserve"> </w:t>
      </w:r>
      <w:r>
        <w:rPr>
          <w:spacing w:val="7"/>
        </w:rPr>
        <w:t>相关信息发生变化的，应当及时进行信息报备。</w:t>
      </w:r>
    </w:p>
    <w:p>
      <w:pPr>
        <w:pStyle w:val="2"/>
        <w:spacing w:before="227" w:line="355" w:lineRule="auto"/>
        <w:ind w:right="103" w:firstLine="790"/>
      </w:pPr>
      <w:r>
        <w:rPr>
          <w:spacing w:val="12"/>
        </w:rPr>
        <w:t>(四)为其他医疗器械生产经营企业提供贮存、配送服务企</w:t>
      </w:r>
      <w:r>
        <w:rPr>
          <w:spacing w:val="8"/>
        </w:rPr>
        <w:t xml:space="preserve"> </w:t>
      </w:r>
      <w:r>
        <w:rPr>
          <w:spacing w:val="4"/>
        </w:rPr>
        <w:t>业许可</w:t>
      </w:r>
    </w:p>
    <w:p>
      <w:pPr>
        <w:pStyle w:val="2"/>
        <w:spacing w:before="26" w:line="305" w:lineRule="auto"/>
        <w:ind w:right="40" w:firstLine="629"/>
      </w:pPr>
      <w:r>
        <w:rPr>
          <w:rFonts w:ascii="宋体" w:hAnsi="宋体" w:eastAsia="宋体" w:cs="宋体"/>
          <w:spacing w:val="9"/>
        </w:rPr>
        <w:t>1.</w:t>
      </w:r>
      <w:r>
        <w:rPr>
          <w:rFonts w:ascii="宋体" w:hAnsi="宋体" w:eastAsia="宋体" w:cs="宋体"/>
          <w:spacing w:val="60"/>
        </w:rPr>
        <w:t xml:space="preserve"> </w:t>
      </w:r>
      <w:r>
        <w:rPr>
          <w:spacing w:val="9"/>
        </w:rPr>
        <w:t>专门提供医疗器械运输、贮存服务的企业应当配备与所</w:t>
      </w:r>
      <w:r>
        <w:t xml:space="preserve"> </w:t>
      </w:r>
      <w:r>
        <w:rPr>
          <w:spacing w:val="5"/>
        </w:rPr>
        <w:t>提供运输、贮存服务规模相适应的经营管理场所。经营管理场所</w:t>
      </w:r>
      <w:r>
        <w:rPr>
          <w:spacing w:val="9"/>
        </w:rPr>
        <w:t xml:space="preserve"> </w:t>
      </w:r>
      <w:r>
        <w:rPr>
          <w:spacing w:val="-13"/>
        </w:rPr>
        <w:t>应当配备日常办公与计算机设备，整洁、卫生，满足日常管理要求。</w:t>
      </w:r>
    </w:p>
    <w:p>
      <w:pPr>
        <w:pStyle w:val="2"/>
        <w:spacing w:before="245" w:line="219" w:lineRule="auto"/>
        <w:ind w:left="629"/>
      </w:pPr>
      <w:r>
        <w:rPr>
          <w:rFonts w:ascii="宋体" w:hAnsi="宋体" w:eastAsia="宋体" w:cs="宋体"/>
          <w:spacing w:val="12"/>
        </w:rPr>
        <w:t xml:space="preserve">2. </w:t>
      </w:r>
      <w:r>
        <w:rPr>
          <w:spacing w:val="12"/>
        </w:rPr>
        <w:t>专门提供医疗器械运输、贮存服务的企业应当配备与所</w:t>
      </w:r>
    </w:p>
    <w:p>
      <w:pPr>
        <w:spacing w:line="219" w:lineRule="auto"/>
        <w:sectPr>
          <w:footerReference r:id="rId9" w:type="default"/>
          <w:pgSz w:w="11900" w:h="16820"/>
          <w:pgMar w:top="1429" w:right="1414" w:bottom="1706" w:left="1519" w:header="0" w:footer="1213" w:gutter="0"/>
          <w:cols w:space="720" w:num="1"/>
        </w:sectPr>
      </w:pPr>
    </w:p>
    <w:p>
      <w:pPr>
        <w:spacing w:line="348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pStyle w:val="2"/>
        <w:spacing w:before="101" w:line="357" w:lineRule="auto"/>
        <w:ind w:right="39"/>
        <w:jc w:val="both"/>
      </w:pPr>
      <w:r>
        <w:rPr>
          <w:spacing w:val="5"/>
        </w:rPr>
        <w:t>提供的运输、贮存服务规模以及所运输、贮存医疗</w:t>
      </w:r>
      <w:r>
        <w:rPr>
          <w:spacing w:val="4"/>
        </w:rPr>
        <w:t>器械产品相适</w:t>
      </w:r>
      <w:r>
        <w:t xml:space="preserve"> </w:t>
      </w:r>
      <w:r>
        <w:rPr>
          <w:spacing w:val="4"/>
        </w:rPr>
        <w:t>应的仓储条件，开展现代物流自动化、智能化与集约化管理，并</w:t>
      </w:r>
      <w:r>
        <w:rPr>
          <w:spacing w:val="16"/>
        </w:rPr>
        <w:t xml:space="preserve"> </w:t>
      </w:r>
      <w:r>
        <w:rPr>
          <w:spacing w:val="5"/>
        </w:rPr>
        <w:t>依据医疗器械产品质量特性和管理要求，合理设置满足不</w:t>
      </w:r>
      <w:r>
        <w:rPr>
          <w:spacing w:val="4"/>
        </w:rPr>
        <w:t>同质量</w:t>
      </w:r>
      <w:r>
        <w:t xml:space="preserve"> </w:t>
      </w:r>
      <w:r>
        <w:rPr>
          <w:spacing w:val="2"/>
        </w:rPr>
        <w:t>状态、贮存环境要求的库区与库位。</w:t>
      </w:r>
      <w:r>
        <w:rPr>
          <w:spacing w:val="75"/>
        </w:rPr>
        <w:t xml:space="preserve">  </w:t>
      </w:r>
      <w:r>
        <w:rPr>
          <w:spacing w:val="2"/>
        </w:rPr>
        <w:t>专门提供医疗器械运输、</w:t>
      </w:r>
      <w:r>
        <w:t xml:space="preserve"> </w:t>
      </w:r>
      <w:r>
        <w:rPr>
          <w:spacing w:val="4"/>
        </w:rPr>
        <w:t>贮存服务的企业应当配备与所提供运输、贮存服务规模相适应的</w:t>
      </w:r>
      <w:r>
        <w:rPr>
          <w:spacing w:val="7"/>
        </w:rPr>
        <w:t xml:space="preserve"> </w:t>
      </w:r>
      <w:r>
        <w:rPr>
          <w:spacing w:val="5"/>
        </w:rPr>
        <w:t>设备设施，仓储设备设施应当满足医疗器械运输、</w:t>
      </w:r>
      <w:r>
        <w:rPr>
          <w:spacing w:val="4"/>
        </w:rPr>
        <w:t>贮存服务全过</w:t>
      </w:r>
      <w:r>
        <w:t xml:space="preserve"> </w:t>
      </w:r>
      <w:r>
        <w:rPr>
          <w:spacing w:val="7"/>
        </w:rPr>
        <w:t>程的物流操作与质量管理要求，应当包括以下设备：货架系统。</w:t>
      </w:r>
      <w:r>
        <w:rPr>
          <w:spacing w:val="8"/>
        </w:rPr>
        <w:t xml:space="preserve"> </w:t>
      </w:r>
      <w:r>
        <w:rPr>
          <w:spacing w:val="5"/>
        </w:rPr>
        <w:t>包括托盘货架、拆零拣选货架及其他货架。温湿度自动监测及控</w:t>
      </w:r>
      <w:r>
        <w:rPr>
          <w:spacing w:val="8"/>
        </w:rPr>
        <w:t xml:space="preserve"> </w:t>
      </w:r>
      <w:r>
        <w:rPr>
          <w:spacing w:val="5"/>
        </w:rPr>
        <w:t>制设备。应当配备符合医疗器械冷链管理要求的环境监测及控制</w:t>
      </w:r>
      <w:r>
        <w:rPr>
          <w:spacing w:val="7"/>
        </w:rPr>
        <w:t xml:space="preserve"> </w:t>
      </w:r>
      <w:r>
        <w:rPr>
          <w:spacing w:val="6"/>
        </w:rPr>
        <w:t>设备，定期对环境监测设备进行校准或检定，并予以标识。</w:t>
      </w:r>
    </w:p>
    <w:p>
      <w:pPr>
        <w:pStyle w:val="2"/>
        <w:spacing w:before="27" w:line="353" w:lineRule="auto"/>
        <w:ind w:right="82" w:firstLine="629"/>
        <w:jc w:val="both"/>
      </w:pPr>
      <w:r>
        <w:rPr>
          <w:rFonts w:ascii="宋体" w:hAnsi="宋体" w:eastAsia="宋体" w:cs="宋体"/>
          <w:spacing w:val="10"/>
        </w:rPr>
        <w:t xml:space="preserve">3. </w:t>
      </w:r>
      <w:r>
        <w:rPr>
          <w:spacing w:val="10"/>
        </w:rPr>
        <w:t>专门提供医疗器械运输、贮存服务的企业应当配备与所</w:t>
      </w:r>
      <w:r>
        <w:rPr>
          <w:spacing w:val="4"/>
        </w:rPr>
        <w:t xml:space="preserve"> </w:t>
      </w:r>
      <w:r>
        <w:rPr>
          <w:spacing w:val="6"/>
        </w:rPr>
        <w:t>提供运输、贮存服务规模相适应的设备设施，仓</w:t>
      </w:r>
      <w:r>
        <w:rPr>
          <w:spacing w:val="5"/>
        </w:rPr>
        <w:t>储设备设施应当</w:t>
      </w:r>
      <w:r>
        <w:t xml:space="preserve"> </w:t>
      </w:r>
      <w:r>
        <w:rPr>
          <w:spacing w:val="16"/>
        </w:rPr>
        <w:t>满足医疗器械运输、贮存服务全过程的物流操作与质量管理要</w:t>
      </w:r>
      <w:r>
        <w:rPr>
          <w:spacing w:val="11"/>
        </w:rPr>
        <w:t xml:space="preserve"> </w:t>
      </w:r>
      <w:r>
        <w:rPr>
          <w:spacing w:val="1"/>
        </w:rPr>
        <w:t>求，应当包括以下设备：</w:t>
      </w:r>
    </w:p>
    <w:p>
      <w:pPr>
        <w:pStyle w:val="2"/>
        <w:spacing w:before="11" w:line="305" w:lineRule="auto"/>
        <w:ind w:right="111" w:firstLine="780"/>
      </w:pPr>
      <w:r>
        <w:rPr>
          <w:spacing w:val="16"/>
        </w:rPr>
        <w:t>(1)计算机硬件设备。应当配备满足收货、验收、上架、</w:t>
      </w:r>
      <w:r>
        <w:rPr>
          <w:spacing w:val="2"/>
        </w:rPr>
        <w:t xml:space="preserve"> </w:t>
      </w:r>
      <w:r>
        <w:rPr>
          <w:spacing w:val="5"/>
        </w:rPr>
        <w:t>在库检查、拣选、复核、包装、运输及质量管理</w:t>
      </w:r>
      <w:r>
        <w:rPr>
          <w:spacing w:val="4"/>
        </w:rPr>
        <w:t>等各环节管理要</w:t>
      </w:r>
      <w:r>
        <w:t xml:space="preserve"> </w:t>
      </w:r>
      <w:r>
        <w:rPr>
          <w:spacing w:val="-4"/>
        </w:rPr>
        <w:t>求的设备。</w:t>
      </w:r>
    </w:p>
    <w:p>
      <w:pPr>
        <w:pStyle w:val="2"/>
        <w:spacing w:before="264" w:line="281" w:lineRule="auto"/>
        <w:ind w:right="96" w:firstLine="780"/>
      </w:pPr>
      <w:r>
        <w:rPr>
          <w:spacing w:val="17"/>
        </w:rPr>
        <w:t>(2)医疗器械唯一标识采集识读设备。包括扫码枪、手持</w:t>
      </w:r>
      <w:r>
        <w:rPr>
          <w:spacing w:val="11"/>
        </w:rPr>
        <w:t xml:space="preserve"> </w:t>
      </w:r>
      <w:r>
        <w:t>终端等采集识读设备。</w:t>
      </w:r>
    </w:p>
    <w:p>
      <w:pPr>
        <w:pStyle w:val="2"/>
        <w:spacing w:before="247" w:line="222" w:lineRule="auto"/>
        <w:jc w:val="right"/>
      </w:pPr>
      <w:r>
        <w:rPr>
          <w:spacing w:val="9"/>
        </w:rPr>
        <w:t>(3)货架系统。包括托盘货架、拆零拣选货架及其</w:t>
      </w:r>
      <w:r>
        <w:rPr>
          <w:spacing w:val="8"/>
        </w:rPr>
        <w:t>他货架。</w:t>
      </w:r>
    </w:p>
    <w:p>
      <w:pPr>
        <w:pStyle w:val="2"/>
        <w:spacing w:before="225" w:line="219" w:lineRule="auto"/>
        <w:ind w:right="16"/>
        <w:jc w:val="right"/>
      </w:pPr>
      <w:r>
        <w:rPr>
          <w:spacing w:val="20"/>
        </w:rPr>
        <w:t>(4)装卸搬运及输送设备。包括推车、叉车</w:t>
      </w:r>
      <w:r>
        <w:rPr>
          <w:spacing w:val="19"/>
        </w:rPr>
        <w:t>(手动、电动)</w:t>
      </w:r>
    </w:p>
    <w:p>
      <w:pPr>
        <w:spacing w:line="219" w:lineRule="auto"/>
        <w:sectPr>
          <w:footerReference r:id="rId10" w:type="default"/>
          <w:pgSz w:w="11900" w:h="16820"/>
          <w:pgMar w:top="1429" w:right="1394" w:bottom="1726" w:left="1579" w:header="0" w:footer="1233" w:gutter="0"/>
          <w:cols w:space="720" w:num="1"/>
        </w:sectPr>
      </w:pPr>
    </w:p>
    <w:p>
      <w:pPr>
        <w:spacing w:line="326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pStyle w:val="2"/>
        <w:spacing w:before="101" w:line="222" w:lineRule="auto"/>
      </w:pPr>
      <w:r>
        <w:rPr>
          <w:spacing w:val="-3"/>
        </w:rPr>
        <w:t>及其他设备。</w:t>
      </w:r>
    </w:p>
    <w:p>
      <w:pPr>
        <w:pStyle w:val="2"/>
        <w:spacing w:before="255" w:line="285" w:lineRule="auto"/>
        <w:ind w:firstLine="770"/>
      </w:pPr>
      <w:r>
        <w:rPr>
          <w:spacing w:val="19"/>
        </w:rPr>
        <w:t>(5)分拣及出库设备。包括电子标签辅助拣货系统或手持</w:t>
      </w:r>
      <w:r>
        <w:t xml:space="preserve"> </w:t>
      </w:r>
      <w:r>
        <w:rPr>
          <w:spacing w:val="1"/>
        </w:rPr>
        <w:t>终端拣货系统等设备。</w:t>
      </w:r>
    </w:p>
    <w:p>
      <w:pPr>
        <w:pStyle w:val="2"/>
        <w:spacing w:before="237" w:line="222" w:lineRule="auto"/>
        <w:ind w:left="770"/>
      </w:pPr>
      <w:r>
        <w:rPr>
          <w:spacing w:val="14"/>
        </w:rPr>
        <w:t>(6)避光、通风、防潮、防虫、防鼠等设备。</w:t>
      </w:r>
    </w:p>
    <w:p>
      <w:pPr>
        <w:pStyle w:val="2"/>
        <w:spacing w:before="206" w:line="311" w:lineRule="auto"/>
        <w:ind w:right="23" w:firstLine="770"/>
      </w:pPr>
      <w:r>
        <w:rPr>
          <w:spacing w:val="18"/>
        </w:rPr>
        <w:t>(7)温湿度自动监测及控制设备。应当配备符合医疗器械</w:t>
      </w:r>
      <w:r>
        <w:rPr>
          <w:spacing w:val="1"/>
        </w:rPr>
        <w:t xml:space="preserve"> </w:t>
      </w:r>
      <w:r>
        <w:rPr>
          <w:spacing w:val="5"/>
        </w:rPr>
        <w:t>冷链管理要求的环境监测及控制设备，定期对环境监测设备进行</w:t>
      </w:r>
      <w:r>
        <w:rPr>
          <w:spacing w:val="10"/>
        </w:rPr>
        <w:t xml:space="preserve"> </w:t>
      </w:r>
      <w:r>
        <w:rPr>
          <w:spacing w:val="3"/>
        </w:rPr>
        <w:t>校准或检定，并予以标识。</w:t>
      </w:r>
    </w:p>
    <w:p>
      <w:pPr>
        <w:pStyle w:val="2"/>
        <w:spacing w:before="246" w:line="324" w:lineRule="auto"/>
        <w:ind w:right="4" w:firstLine="770"/>
      </w:pPr>
      <w:r>
        <w:rPr>
          <w:spacing w:val="18"/>
        </w:rPr>
        <w:t>(8)运输车辆及设备。应当配备与所提供运输</w:t>
      </w:r>
      <w:r>
        <w:rPr>
          <w:spacing w:val="17"/>
        </w:rPr>
        <w:t>、贮存服务</w:t>
      </w:r>
      <w:r>
        <w:t xml:space="preserve"> </w:t>
      </w:r>
      <w:r>
        <w:rPr>
          <w:spacing w:val="6"/>
        </w:rPr>
        <w:t>规模相适应的运输车辆。冷链运输车辆应当配备卫星定位系统，</w:t>
      </w:r>
      <w:r>
        <w:rPr>
          <w:spacing w:val="5"/>
        </w:rPr>
        <w:t xml:space="preserve"> </w:t>
      </w:r>
      <w:r>
        <w:rPr>
          <w:spacing w:val="16"/>
        </w:rPr>
        <w:t>可实现对车辆运输监控。冷藏箱(保温箱)、冷</w:t>
      </w:r>
      <w:r>
        <w:rPr>
          <w:spacing w:val="15"/>
        </w:rPr>
        <w:t>藏运输车辆应当</w:t>
      </w:r>
      <w:r>
        <w:t xml:space="preserve"> </w:t>
      </w:r>
      <w:r>
        <w:rPr>
          <w:spacing w:val="4"/>
        </w:rPr>
        <w:t>符合医疗器械冷链管理相关要求。</w:t>
      </w:r>
    </w:p>
    <w:p>
      <w:pPr>
        <w:pStyle w:val="2"/>
        <w:spacing w:before="246" w:line="324" w:lineRule="auto"/>
        <w:ind w:right="4" w:firstLine="619"/>
      </w:pPr>
      <w:r>
        <w:rPr>
          <w:rFonts w:ascii="宋体" w:hAnsi="宋体" w:eastAsia="宋体" w:cs="宋体"/>
          <w:spacing w:val="11"/>
        </w:rPr>
        <w:t xml:space="preserve">4. </w:t>
      </w:r>
      <w:r>
        <w:rPr>
          <w:spacing w:val="11"/>
        </w:rPr>
        <w:t>专门提供医疗器械运输、贮存服务的企业应当加强实时</w:t>
      </w:r>
      <w:r>
        <w:rPr>
          <w:spacing w:val="6"/>
        </w:rPr>
        <w:t xml:space="preserve"> 监测监控管理，应当包括：库房进出通道及各库区的视频监控， </w:t>
      </w:r>
      <w:r>
        <w:rPr>
          <w:spacing w:val="5"/>
        </w:rPr>
        <w:t>各库区温湿度监控，运输车辆监控，仓储设备监控以及异常状况</w:t>
      </w:r>
      <w:r>
        <w:rPr>
          <w:spacing w:val="11"/>
        </w:rPr>
        <w:t xml:space="preserve"> </w:t>
      </w:r>
      <w:r>
        <w:rPr>
          <w:spacing w:val="-3"/>
        </w:rPr>
        <w:t>报警等功能。</w:t>
      </w:r>
    </w:p>
    <w:p>
      <w:pPr>
        <w:pStyle w:val="2"/>
        <w:spacing w:before="225" w:line="282" w:lineRule="auto"/>
        <w:ind w:right="28" w:firstLine="619"/>
      </w:pPr>
      <w:r>
        <w:rPr>
          <w:rFonts w:ascii="宋体" w:hAnsi="宋体" w:eastAsia="宋体" w:cs="宋体"/>
          <w:spacing w:val="11"/>
        </w:rPr>
        <w:t xml:space="preserve">5. </w:t>
      </w:r>
      <w:r>
        <w:rPr>
          <w:spacing w:val="11"/>
        </w:rPr>
        <w:t>为其他医疗器械生产经营企业提供贮存、配送服务企业</w:t>
      </w:r>
      <w:r>
        <w:rPr>
          <w:spacing w:val="7"/>
        </w:rPr>
        <w:t xml:space="preserve"> 许可和备案事项由市局统一办理，提升贮存、配送服务质量。</w:t>
      </w:r>
    </w:p>
    <w:p>
      <w:pPr>
        <w:pStyle w:val="2"/>
        <w:spacing w:before="214" w:line="221" w:lineRule="auto"/>
        <w:ind w:left="770"/>
      </w:pPr>
      <w:r>
        <w:rPr>
          <w:spacing w:val="33"/>
        </w:rPr>
        <w:t>(五)自动售械机</w:t>
      </w:r>
    </w:p>
    <w:p>
      <w:pPr>
        <w:pStyle w:val="2"/>
        <w:spacing w:before="227" w:line="340" w:lineRule="auto"/>
        <w:ind w:right="17" w:firstLine="619"/>
        <w:jc w:val="both"/>
      </w:pPr>
      <w:r>
        <w:rPr>
          <w:rFonts w:ascii="宋体" w:hAnsi="宋体" w:eastAsia="宋体" w:cs="宋体"/>
          <w:spacing w:val="17"/>
        </w:rPr>
        <w:t xml:space="preserve">1. </w:t>
      </w:r>
      <w:r>
        <w:rPr>
          <w:spacing w:val="17"/>
        </w:rPr>
        <w:t>利用自动售械机从事第二类医疗器械(不包括免于经营</w:t>
      </w:r>
      <w:r>
        <w:rPr>
          <w:spacing w:val="11"/>
        </w:rPr>
        <w:t xml:space="preserve"> </w:t>
      </w:r>
      <w:r>
        <w:rPr>
          <w:spacing w:val="10"/>
        </w:rPr>
        <w:t>备案的医疗器械)和第三类医疗器械零售经营的企业，应当是已</w:t>
      </w:r>
      <w:r>
        <w:rPr>
          <w:spacing w:val="15"/>
        </w:rPr>
        <w:t xml:space="preserve"> </w:t>
      </w:r>
      <w:r>
        <w:rPr>
          <w:spacing w:val="17"/>
        </w:rPr>
        <w:t>经获取第二类医疗器械经营备案编号或者第三类医疗器械经营</w:t>
      </w:r>
    </w:p>
    <w:p>
      <w:pPr>
        <w:spacing w:line="340" w:lineRule="auto"/>
        <w:sectPr>
          <w:footerReference r:id="rId11" w:type="default"/>
          <w:pgSz w:w="11900" w:h="16820"/>
          <w:pgMar w:top="1429" w:right="1460" w:bottom="1716" w:left="1579" w:header="0" w:footer="1314" w:gutter="0"/>
          <w:cols w:space="720" w:num="1"/>
        </w:sectPr>
      </w:pPr>
    </w:p>
    <w:p>
      <w:pPr>
        <w:spacing w:line="326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pStyle w:val="2"/>
        <w:spacing w:before="101" w:line="342" w:lineRule="auto"/>
        <w:ind w:left="5" w:right="31" w:hanging="5"/>
      </w:pPr>
      <w:r>
        <w:rPr>
          <w:spacing w:val="4"/>
        </w:rPr>
        <w:t>许可证的医疗器械经营企业，且经营方式应当包含“零售”或者</w:t>
      </w:r>
      <w:r>
        <w:rPr>
          <w:spacing w:val="1"/>
        </w:rPr>
        <w:t xml:space="preserve"> “批零兼营”。</w:t>
      </w:r>
    </w:p>
    <w:p>
      <w:pPr>
        <w:pStyle w:val="2"/>
        <w:spacing w:before="1" w:line="308" w:lineRule="auto"/>
        <w:ind w:right="3" w:firstLine="619"/>
      </w:pPr>
      <w:r>
        <w:rPr>
          <w:rFonts w:ascii="宋体" w:hAnsi="宋体" w:eastAsia="宋体" w:cs="宋体"/>
          <w:spacing w:val="10"/>
        </w:rPr>
        <w:t xml:space="preserve">2. </w:t>
      </w:r>
      <w:r>
        <w:rPr>
          <w:spacing w:val="10"/>
        </w:rPr>
        <w:t>利用自动售械机零售的医疗器械，应当在企业经许可或</w:t>
      </w:r>
      <w:r>
        <w:rPr>
          <w:spacing w:val="2"/>
        </w:rPr>
        <w:t xml:space="preserve"> </w:t>
      </w:r>
      <w:r>
        <w:rPr>
          <w:spacing w:val="5"/>
        </w:rPr>
        <w:t>者备案的医疗器械经营范围以内，并且是可以由消费者个人自行</w:t>
      </w:r>
      <w:r>
        <w:t xml:space="preserve"> </w:t>
      </w:r>
      <w:r>
        <w:rPr>
          <w:spacing w:val="6"/>
        </w:rPr>
        <w:t>使用的医疗器械，具有安全使用的特别说明。</w:t>
      </w:r>
    </w:p>
    <w:p>
      <w:pPr>
        <w:pStyle w:val="2"/>
        <w:spacing w:before="178" w:line="300" w:lineRule="auto"/>
        <w:ind w:right="16" w:firstLine="619"/>
      </w:pPr>
      <w:r>
        <w:rPr>
          <w:rFonts w:ascii="宋体" w:hAnsi="宋体" w:eastAsia="宋体" w:cs="宋体"/>
          <w:spacing w:val="10"/>
        </w:rPr>
        <w:t xml:space="preserve">3. </w:t>
      </w:r>
      <w:r>
        <w:rPr>
          <w:spacing w:val="10"/>
        </w:rPr>
        <w:t>自动售械机作为医疗器械零售经营场所的延伸，应当载</w:t>
      </w:r>
      <w:r>
        <w:rPr>
          <w:spacing w:val="2"/>
        </w:rPr>
        <w:t xml:space="preserve"> </w:t>
      </w:r>
      <w:r>
        <w:rPr>
          <w:spacing w:val="4"/>
        </w:rPr>
        <w:t>入医疗器械经营许可证或者备案凭证，在经营场所栏增加设置自</w:t>
      </w:r>
      <w:r>
        <w:rPr>
          <w:spacing w:val="16"/>
        </w:rPr>
        <w:t xml:space="preserve"> </w:t>
      </w:r>
      <w:r>
        <w:rPr>
          <w:spacing w:val="-1"/>
        </w:rPr>
        <w:t>动售械机的场所。</w:t>
      </w:r>
    </w:p>
    <w:p>
      <w:pPr>
        <w:spacing w:before="227" w:line="222" w:lineRule="auto"/>
        <w:ind w:left="624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b/>
          <w:bCs/>
          <w:spacing w:val="6"/>
          <w:sz w:val="31"/>
          <w:szCs w:val="31"/>
        </w:rPr>
        <w:t>三、经营许可审批权限划分</w:t>
      </w:r>
    </w:p>
    <w:p>
      <w:pPr>
        <w:spacing w:before="196" w:line="223" w:lineRule="auto"/>
        <w:ind w:left="790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pacing w:val="22"/>
          <w:sz w:val="31"/>
          <w:szCs w:val="31"/>
        </w:rPr>
        <w:t>(一)市局许可审批权限</w:t>
      </w:r>
    </w:p>
    <w:p>
      <w:pPr>
        <w:pStyle w:val="2"/>
        <w:spacing w:before="210" w:line="303" w:lineRule="auto"/>
        <w:ind w:firstLine="624"/>
      </w:pPr>
      <w:r>
        <w:rPr>
          <w:rFonts w:ascii="宋体" w:hAnsi="宋体" w:eastAsia="宋体" w:cs="宋体"/>
          <w:b/>
          <w:bCs/>
          <w:spacing w:val="5"/>
        </w:rPr>
        <w:t>1.</w:t>
      </w:r>
      <w:r>
        <w:rPr>
          <w:rFonts w:ascii="宋体" w:hAnsi="宋体" w:eastAsia="宋体" w:cs="宋体"/>
          <w:spacing w:val="5"/>
        </w:rPr>
        <w:t xml:space="preserve"> </w:t>
      </w:r>
      <w:r>
        <w:rPr>
          <w:b/>
          <w:bCs/>
          <w:spacing w:val="5"/>
        </w:rPr>
        <w:t>食品经营：</w:t>
      </w:r>
      <w:r>
        <w:rPr>
          <w:spacing w:val="-86"/>
        </w:rPr>
        <w:t xml:space="preserve"> </w:t>
      </w:r>
      <w:r>
        <w:rPr>
          <w:spacing w:val="5"/>
        </w:rPr>
        <w:t>市级负责中央厨房、集体用餐配送单位、部</w:t>
      </w:r>
      <w:r>
        <w:t xml:space="preserve"> </w:t>
      </w:r>
      <w:r>
        <w:rPr>
          <w:spacing w:val="5"/>
        </w:rPr>
        <w:t>属和省属高校集中用餐单位食堂的食品经营许可审批，大型连锁</w:t>
      </w:r>
      <w:r>
        <w:rPr>
          <w:spacing w:val="4"/>
        </w:rPr>
        <w:t xml:space="preserve"> </w:t>
      </w:r>
      <w:r>
        <w:rPr>
          <w:spacing w:val="7"/>
        </w:rPr>
        <w:t>餐饮服务企业食品经营许可告知承诺制资格确认工作。</w:t>
      </w:r>
    </w:p>
    <w:p>
      <w:pPr>
        <w:pStyle w:val="2"/>
        <w:spacing w:before="202" w:line="286" w:lineRule="auto"/>
        <w:ind w:right="24" w:firstLine="624"/>
      </w:pPr>
      <w:r>
        <w:rPr>
          <w:rFonts w:ascii="宋体" w:hAnsi="宋体" w:eastAsia="宋体" w:cs="宋体"/>
          <w:b/>
          <w:bCs/>
          <w:spacing w:val="5"/>
        </w:rPr>
        <w:t>2.</w:t>
      </w:r>
      <w:r>
        <w:rPr>
          <w:rFonts w:ascii="宋体" w:hAnsi="宋体" w:eastAsia="宋体" w:cs="宋体"/>
          <w:spacing w:val="5"/>
        </w:rPr>
        <w:t xml:space="preserve"> </w:t>
      </w:r>
      <w:r>
        <w:rPr>
          <w:b/>
          <w:bCs/>
          <w:spacing w:val="5"/>
        </w:rPr>
        <w:t>药品经营：</w:t>
      </w:r>
      <w:r>
        <w:rPr>
          <w:spacing w:val="-43"/>
        </w:rPr>
        <w:t xml:space="preserve"> </w:t>
      </w:r>
      <w:r>
        <w:rPr>
          <w:spacing w:val="5"/>
        </w:rPr>
        <w:t>市级负责芙蓉区、天心区、开福区、雨花区</w:t>
      </w:r>
      <w:r>
        <w:t xml:space="preserve"> </w:t>
      </w:r>
      <w:r>
        <w:rPr>
          <w:spacing w:val="23"/>
        </w:rPr>
        <w:t>辖区范围药品零售经营许可(零售连锁)。</w:t>
      </w:r>
    </w:p>
    <w:p>
      <w:pPr>
        <w:pStyle w:val="2"/>
        <w:spacing w:before="184" w:line="304" w:lineRule="auto"/>
        <w:ind w:right="3" w:firstLine="624"/>
      </w:pPr>
      <w:r>
        <w:rPr>
          <w:rFonts w:ascii="宋体" w:hAnsi="宋体" w:eastAsia="宋体" w:cs="宋体"/>
          <w:b/>
          <w:bCs/>
          <w:spacing w:val="4"/>
        </w:rPr>
        <w:t>3.</w:t>
      </w:r>
      <w:r>
        <w:rPr>
          <w:rFonts w:ascii="宋体" w:hAnsi="宋体" w:eastAsia="宋体" w:cs="宋体"/>
          <w:spacing w:val="4"/>
        </w:rPr>
        <w:t xml:space="preserve"> </w:t>
      </w:r>
      <w:r>
        <w:rPr>
          <w:b/>
          <w:bCs/>
          <w:spacing w:val="4"/>
        </w:rPr>
        <w:t>医疗器械经营：</w:t>
      </w:r>
      <w:r>
        <w:rPr>
          <w:spacing w:val="-28"/>
        </w:rPr>
        <w:t xml:space="preserve"> </w:t>
      </w:r>
      <w:r>
        <w:rPr>
          <w:spacing w:val="4"/>
        </w:rPr>
        <w:t>市级负责芙蓉区、天心区、开福区、雨</w:t>
      </w:r>
      <w:r>
        <w:t xml:space="preserve"> </w:t>
      </w:r>
      <w:r>
        <w:rPr>
          <w:spacing w:val="5"/>
        </w:rPr>
        <w:t>花区第三类医疗器械批发、批零兼营许可，及长沙市辖区内为其</w:t>
      </w:r>
      <w:r>
        <w:t xml:space="preserve"> </w:t>
      </w:r>
      <w:r>
        <w:rPr>
          <w:spacing w:val="8"/>
        </w:rPr>
        <w:t>他医疗器械生产经营企业提供贮存、配送服</w:t>
      </w:r>
      <w:r>
        <w:rPr>
          <w:spacing w:val="7"/>
        </w:rPr>
        <w:t>务经营许可。</w:t>
      </w:r>
    </w:p>
    <w:p>
      <w:pPr>
        <w:pStyle w:val="2"/>
        <w:spacing w:before="196" w:line="336" w:lineRule="auto"/>
        <w:ind w:right="36" w:firstLine="619"/>
      </w:pPr>
      <w:r>
        <w:rPr>
          <w:spacing w:val="4"/>
        </w:rPr>
        <w:t xml:space="preserve">省级及以上市场监管部门、药品监管部门授权委托许可审批 </w:t>
      </w:r>
      <w:r>
        <w:rPr>
          <w:spacing w:val="-8"/>
        </w:rPr>
        <w:t>事项。</w:t>
      </w:r>
    </w:p>
    <w:p>
      <w:pPr>
        <w:spacing w:before="52" w:line="223" w:lineRule="auto"/>
        <w:ind w:left="784"/>
        <w:outlineLvl w:val="2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b/>
          <w:bCs/>
          <w:spacing w:val="39"/>
          <w:sz w:val="31"/>
          <w:szCs w:val="31"/>
        </w:rPr>
        <w:t>(二)区县(市)许可审批权限</w:t>
      </w:r>
    </w:p>
    <w:p>
      <w:pPr>
        <w:pStyle w:val="2"/>
        <w:spacing w:before="242" w:line="221" w:lineRule="auto"/>
        <w:ind w:right="35"/>
        <w:jc w:val="right"/>
        <w:rPr>
          <w:sz w:val="28"/>
          <w:szCs w:val="28"/>
        </w:rPr>
      </w:pPr>
      <w:r>
        <w:rPr>
          <w:rFonts w:ascii="宋体" w:hAnsi="宋体" w:eastAsia="宋体" w:cs="宋体"/>
          <w:b/>
          <w:bCs/>
          <w:spacing w:val="25"/>
          <w:sz w:val="28"/>
          <w:szCs w:val="28"/>
        </w:rPr>
        <w:t>1.</w:t>
      </w:r>
      <w:r>
        <w:rPr>
          <w:rFonts w:ascii="宋体" w:hAnsi="宋体" w:eastAsia="宋体" w:cs="宋体"/>
          <w:spacing w:val="99"/>
          <w:sz w:val="28"/>
          <w:szCs w:val="28"/>
        </w:rPr>
        <w:t xml:space="preserve"> </w:t>
      </w:r>
      <w:r>
        <w:rPr>
          <w:b/>
          <w:bCs/>
          <w:spacing w:val="25"/>
          <w:sz w:val="28"/>
          <w:szCs w:val="28"/>
        </w:rPr>
        <w:t>食品经营：</w:t>
      </w:r>
      <w:r>
        <w:rPr>
          <w:spacing w:val="114"/>
          <w:sz w:val="28"/>
          <w:szCs w:val="28"/>
        </w:rPr>
        <w:t xml:space="preserve"> </w:t>
      </w:r>
      <w:r>
        <w:rPr>
          <w:spacing w:val="25"/>
          <w:sz w:val="28"/>
          <w:szCs w:val="28"/>
        </w:rPr>
        <w:t>负责辖区内市级审批权限之外的其他食品经</w:t>
      </w:r>
    </w:p>
    <w:p>
      <w:pPr>
        <w:spacing w:line="221" w:lineRule="auto"/>
        <w:rPr>
          <w:sz w:val="28"/>
          <w:szCs w:val="28"/>
        </w:rPr>
        <w:sectPr>
          <w:footerReference r:id="rId12" w:type="default"/>
          <w:pgSz w:w="11900" w:h="16820"/>
          <w:pgMar w:top="1429" w:right="1474" w:bottom="1674" w:left="1599" w:header="0" w:footer="1304" w:gutter="0"/>
          <w:cols w:space="720" w:num="1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2"/>
        <w:spacing w:before="88" w:line="222" w:lineRule="auto"/>
        <w:rPr>
          <w:sz w:val="27"/>
          <w:szCs w:val="27"/>
        </w:rPr>
      </w:pPr>
      <w:r>
        <w:rPr>
          <w:spacing w:val="28"/>
          <w:sz w:val="27"/>
          <w:szCs w:val="27"/>
        </w:rPr>
        <w:t>营许可。</w:t>
      </w:r>
    </w:p>
    <w:p>
      <w:pPr>
        <w:pStyle w:val="2"/>
        <w:spacing w:before="223" w:line="221" w:lineRule="auto"/>
        <w:ind w:left="619"/>
      </w:pPr>
      <w:r>
        <w:rPr>
          <w:rFonts w:ascii="宋体" w:hAnsi="宋体" w:eastAsia="宋体" w:cs="宋体"/>
          <w:spacing w:val="7"/>
        </w:rPr>
        <w:t xml:space="preserve">2. </w:t>
      </w:r>
      <w:r>
        <w:rPr>
          <w:spacing w:val="7"/>
        </w:rPr>
        <w:t>药品经营：负责辖区内药品零售经营许可。</w:t>
      </w:r>
    </w:p>
    <w:p>
      <w:pPr>
        <w:pStyle w:val="2"/>
        <w:spacing w:before="206" w:line="328" w:lineRule="auto"/>
        <w:ind w:firstLine="619"/>
      </w:pPr>
      <w:r>
        <w:rPr>
          <w:rFonts w:ascii="宋体" w:hAnsi="宋体" w:eastAsia="宋体" w:cs="宋体"/>
          <w:spacing w:val="18"/>
        </w:rPr>
        <w:t xml:space="preserve">3. </w:t>
      </w:r>
      <w:r>
        <w:rPr>
          <w:spacing w:val="18"/>
        </w:rPr>
        <w:t>医疗器械经营(委托下放):</w:t>
      </w:r>
      <w:r>
        <w:rPr>
          <w:spacing w:val="-62"/>
        </w:rPr>
        <w:t xml:space="preserve"> </w:t>
      </w:r>
      <w:r>
        <w:rPr>
          <w:spacing w:val="18"/>
        </w:rPr>
        <w:t>芙蓉区、天心区、开</w:t>
      </w:r>
      <w:r>
        <w:rPr>
          <w:spacing w:val="17"/>
        </w:rPr>
        <w:t>福区、</w:t>
      </w:r>
      <w:r>
        <w:t xml:space="preserve"> </w:t>
      </w:r>
      <w:r>
        <w:rPr>
          <w:spacing w:val="8"/>
        </w:rPr>
        <w:t>雨花区负责辖区内第三类医疗器械零售经营许可和二类医疗器</w:t>
      </w:r>
      <w:r>
        <w:rPr>
          <w:spacing w:val="1"/>
        </w:rPr>
        <w:t xml:space="preserve">   </w:t>
      </w:r>
      <w:r>
        <w:rPr>
          <w:spacing w:val="5"/>
        </w:rPr>
        <w:t>械经营备案。望城区、长沙县、宁乡市、浏阳市负责辖区内第三</w:t>
      </w:r>
      <w:r>
        <w:rPr>
          <w:spacing w:val="13"/>
        </w:rPr>
        <w:t xml:space="preserve"> </w:t>
      </w:r>
      <w:r>
        <w:rPr>
          <w:spacing w:val="5"/>
        </w:rPr>
        <w:t>类医疗器械经营许可和二类医疗器械经营备案。</w:t>
      </w:r>
    </w:p>
    <w:p>
      <w:pPr>
        <w:pStyle w:val="2"/>
        <w:spacing w:before="233" w:line="307" w:lineRule="auto"/>
        <w:ind w:right="178" w:firstLine="619"/>
      </w:pPr>
      <w:r>
        <w:rPr>
          <w:rFonts w:ascii="宋体" w:hAnsi="宋体" w:eastAsia="宋体" w:cs="宋体"/>
          <w:spacing w:val="9"/>
        </w:rPr>
        <w:t xml:space="preserve">4. </w:t>
      </w:r>
      <w:r>
        <w:rPr>
          <w:spacing w:val="9"/>
        </w:rPr>
        <w:t>湘江新区：按照《长沙市人民政府关于赋予湖南湘江新</w:t>
      </w:r>
      <w:r>
        <w:rPr>
          <w:spacing w:val="10"/>
        </w:rPr>
        <w:t xml:space="preserve"> </w:t>
      </w:r>
      <w:r>
        <w:rPr>
          <w:spacing w:val="20"/>
        </w:rPr>
        <w:t>区市级经济社会管理权限(第一批)的决定》(长沙市人民政府</w:t>
      </w:r>
      <w:r>
        <w:rPr>
          <w:spacing w:val="10"/>
        </w:rPr>
        <w:t xml:space="preserve"> </w:t>
      </w:r>
      <w:r>
        <w:rPr>
          <w:spacing w:val="18"/>
        </w:rPr>
        <w:t>令第142号)及配套的《赋权行政许可事项协议书》实施。</w:t>
      </w:r>
    </w:p>
    <w:p>
      <w:pPr>
        <w:pStyle w:val="2"/>
        <w:spacing w:before="248" w:line="315" w:lineRule="auto"/>
        <w:ind w:right="123" w:firstLine="619"/>
      </w:pPr>
      <w:r>
        <w:rPr>
          <w:rFonts w:ascii="宋体" w:hAnsi="宋体" w:eastAsia="宋体" w:cs="宋体"/>
          <w:spacing w:val="11"/>
        </w:rPr>
        <w:t xml:space="preserve">5. </w:t>
      </w:r>
      <w:r>
        <w:rPr>
          <w:spacing w:val="11"/>
        </w:rPr>
        <w:t>特殊情形：芙蓉区、天心区、开福区、雨花区药品经营</w:t>
      </w:r>
      <w:r>
        <w:rPr>
          <w:spacing w:val="18"/>
        </w:rPr>
        <w:t xml:space="preserve"> </w:t>
      </w:r>
      <w:r>
        <w:rPr>
          <w:spacing w:val="16"/>
        </w:rPr>
        <w:t>许可(零售连锁)和大型连锁餐饮服务企业所属门店食品经营许</w:t>
      </w:r>
      <w:r>
        <w:rPr>
          <w:spacing w:val="14"/>
        </w:rPr>
        <w:t xml:space="preserve"> </w:t>
      </w:r>
      <w:r>
        <w:rPr>
          <w:spacing w:val="5"/>
        </w:rPr>
        <w:t>可，申请人可以自主选择在市、区两级办理。</w:t>
      </w:r>
    </w:p>
    <w:p>
      <w:pPr>
        <w:spacing w:before="232" w:line="222" w:lineRule="auto"/>
        <w:ind w:left="624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b/>
          <w:bCs/>
          <w:spacing w:val="3"/>
          <w:sz w:val="31"/>
          <w:szCs w:val="31"/>
        </w:rPr>
        <w:t>四、规范实施现场核查</w:t>
      </w:r>
    </w:p>
    <w:p>
      <w:pPr>
        <w:pStyle w:val="2"/>
        <w:spacing w:before="208" w:line="313" w:lineRule="auto"/>
        <w:ind w:right="123" w:firstLine="780"/>
      </w:pPr>
      <w:r>
        <w:rPr>
          <w:spacing w:val="12"/>
        </w:rPr>
        <w:t>(一)已取得《药品经营许可证》的药品零售企业申请</w:t>
      </w:r>
      <w:r>
        <w:rPr>
          <w:spacing w:val="11"/>
        </w:rPr>
        <w:t>《医</w:t>
      </w:r>
      <w:r>
        <w:t xml:space="preserve"> </w:t>
      </w:r>
      <w:r>
        <w:rPr>
          <w:spacing w:val="6"/>
        </w:rPr>
        <w:t>疗器械经营许可证》《二类医疗器械经营备案</w:t>
      </w:r>
      <w:r>
        <w:rPr>
          <w:spacing w:val="5"/>
        </w:rPr>
        <w:t>凭证》《食品经营</w:t>
      </w:r>
      <w:r>
        <w:t xml:space="preserve"> </w:t>
      </w:r>
      <w:r>
        <w:rPr>
          <w:spacing w:val="6"/>
        </w:rPr>
        <w:t>许可证》核发和变更的，免于现场核查，直接办理。</w:t>
      </w:r>
    </w:p>
    <w:p>
      <w:pPr>
        <w:pStyle w:val="2"/>
        <w:spacing w:before="252" w:line="286" w:lineRule="auto"/>
        <w:ind w:right="128" w:firstLine="780"/>
      </w:pPr>
      <w:r>
        <w:rPr>
          <w:spacing w:val="12"/>
        </w:rPr>
        <w:t>(二)申请行业综合许可登记的企业，对需</w:t>
      </w:r>
      <w:r>
        <w:rPr>
          <w:spacing w:val="11"/>
        </w:rPr>
        <w:t>要现场核查的事</w:t>
      </w:r>
      <w:r>
        <w:t xml:space="preserve"> </w:t>
      </w:r>
      <w:r>
        <w:rPr>
          <w:spacing w:val="5"/>
        </w:rPr>
        <w:t>项一次性组织实施并提出现场核查意见。</w:t>
      </w:r>
    </w:p>
    <w:p>
      <w:pPr>
        <w:pStyle w:val="2"/>
        <w:spacing w:before="225" w:line="222" w:lineRule="auto"/>
        <w:ind w:left="780"/>
      </w:pPr>
      <w:r>
        <w:rPr>
          <w:spacing w:val="15"/>
        </w:rPr>
        <w:t>(三)下列许可事项实施现场核查：</w:t>
      </w:r>
    </w:p>
    <w:p>
      <w:pPr>
        <w:pStyle w:val="2"/>
        <w:spacing w:before="223" w:line="222" w:lineRule="auto"/>
        <w:ind w:left="624"/>
        <w:outlineLvl w:val="2"/>
      </w:pPr>
      <w:r>
        <w:rPr>
          <w:rFonts w:ascii="宋体" w:hAnsi="宋体" w:eastAsia="宋体" w:cs="宋体"/>
          <w:b/>
          <w:bCs/>
          <w:spacing w:val="-3"/>
        </w:rPr>
        <w:t>1.</w:t>
      </w:r>
      <w:r>
        <w:rPr>
          <w:rFonts w:ascii="宋体" w:hAnsi="宋体" w:eastAsia="宋体" w:cs="宋体"/>
          <w:spacing w:val="66"/>
        </w:rPr>
        <w:t xml:space="preserve"> </w:t>
      </w:r>
      <w:r>
        <w:rPr>
          <w:b/>
          <w:bCs/>
          <w:spacing w:val="-3"/>
        </w:rPr>
        <w:t>药品经营许可</w:t>
      </w:r>
    </w:p>
    <w:p>
      <w:pPr>
        <w:pStyle w:val="2"/>
        <w:spacing w:before="231" w:line="222" w:lineRule="auto"/>
        <w:ind w:left="780"/>
      </w:pPr>
      <w:r>
        <w:rPr>
          <w:spacing w:val="17"/>
        </w:rPr>
        <w:t>(1)《药品经营许可证》首次核发。收购已经取得经营许</w:t>
      </w:r>
    </w:p>
    <w:p>
      <w:pPr>
        <w:spacing w:line="222" w:lineRule="auto"/>
        <w:sectPr>
          <w:footerReference r:id="rId13" w:type="default"/>
          <w:pgSz w:w="11900" w:h="16820"/>
          <w:pgMar w:top="1429" w:right="1404" w:bottom="1726" w:left="1529" w:header="0" w:footer="1233" w:gutter="0"/>
          <w:cols w:space="720" w:num="1"/>
        </w:sectPr>
      </w:pPr>
    </w:p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2"/>
        <w:spacing w:before="101" w:line="352" w:lineRule="auto"/>
        <w:ind w:right="23"/>
      </w:pPr>
      <w:r>
        <w:rPr>
          <w:spacing w:val="-1"/>
        </w:rPr>
        <w:t>可的药店继续在原地从事药品经营且经营方式不变， 一个月内申</w:t>
      </w:r>
      <w:r>
        <w:rPr>
          <w:spacing w:val="6"/>
        </w:rPr>
        <w:t xml:space="preserve"> </w:t>
      </w:r>
      <w:r>
        <w:rPr>
          <w:spacing w:val="-1"/>
        </w:rPr>
        <w:t>请核发的除外。</w:t>
      </w:r>
    </w:p>
    <w:p>
      <w:pPr>
        <w:pStyle w:val="2"/>
        <w:spacing w:before="16" w:line="357" w:lineRule="auto"/>
        <w:ind w:firstLine="780"/>
        <w:jc w:val="both"/>
      </w:pPr>
      <w:r>
        <w:rPr>
          <w:spacing w:val="16"/>
        </w:rPr>
        <w:t>(2)药品经营许可变更、延续时有下列情形的：①注册地</w:t>
      </w:r>
      <w:r>
        <w:rPr>
          <w:spacing w:val="12"/>
        </w:rPr>
        <w:t xml:space="preserve"> </w:t>
      </w:r>
      <w:r>
        <w:rPr>
          <w:spacing w:val="5"/>
        </w:rPr>
        <w:t>址、仓库地址发生变化的。其中，原有注册地址和仓库地址无变</w:t>
      </w:r>
      <w:r>
        <w:rPr>
          <w:spacing w:val="15"/>
        </w:rPr>
        <w:t xml:space="preserve"> </w:t>
      </w:r>
      <w:r>
        <w:rPr>
          <w:spacing w:val="4"/>
        </w:rPr>
        <w:t>化核减注册地址和仓库面积，且面积符合相应经营范围规定和药</w:t>
      </w:r>
      <w:r>
        <w:rPr>
          <w:spacing w:val="10"/>
        </w:rPr>
        <w:t xml:space="preserve"> </w:t>
      </w:r>
      <w:r>
        <w:rPr>
          <w:spacing w:val="15"/>
        </w:rPr>
        <w:t>品零售连锁企业旗下分支机构迁址至原有门</w:t>
      </w:r>
      <w:r>
        <w:rPr>
          <w:spacing w:val="14"/>
        </w:rPr>
        <w:t>店(已办理注销)经</w:t>
      </w:r>
      <w:r>
        <w:t xml:space="preserve"> </w:t>
      </w:r>
      <w:r>
        <w:rPr>
          <w:spacing w:val="3"/>
        </w:rPr>
        <w:t>营场所，且不涉及跨县级行政区域的，经企业自主承诺经营场所</w:t>
      </w:r>
      <w:r>
        <w:rPr>
          <w:spacing w:val="15"/>
        </w:rPr>
        <w:t xml:space="preserve"> </w:t>
      </w:r>
      <w:r>
        <w:rPr>
          <w:spacing w:val="4"/>
        </w:rPr>
        <w:t>布局及环境不发生改变的除外。②变更经营方式。③增加经营范</w:t>
      </w:r>
      <w:r>
        <w:rPr>
          <w:spacing w:val="18"/>
        </w:rPr>
        <w:t xml:space="preserve"> </w:t>
      </w:r>
      <w:r>
        <w:rPr>
          <w:spacing w:val="15"/>
        </w:rPr>
        <w:t>围。其中，原有生物制品(含冷藏药品)经营范围，申请增加血</w:t>
      </w:r>
      <w:r>
        <w:rPr>
          <w:spacing w:val="8"/>
        </w:rPr>
        <w:t xml:space="preserve"> </w:t>
      </w:r>
      <w:r>
        <w:rPr>
          <w:spacing w:val="22"/>
        </w:rPr>
        <w:t>液制品或胰岛素经营范围和原有生物制品(不含冷藏药品),申</w:t>
      </w:r>
      <w:r>
        <w:rPr>
          <w:spacing w:val="1"/>
        </w:rPr>
        <w:t xml:space="preserve"> </w:t>
      </w:r>
      <w:r>
        <w:rPr>
          <w:spacing w:val="16"/>
        </w:rPr>
        <w:t>请增加冷藏范围，门店能够提供冷藏设备的合格证明和购进票</w:t>
      </w:r>
      <w:r>
        <w:rPr>
          <w:spacing w:val="3"/>
        </w:rPr>
        <w:t xml:space="preserve"> </w:t>
      </w:r>
      <w:r>
        <w:rPr>
          <w:spacing w:val="5"/>
        </w:rPr>
        <w:t>据、安装照片、应急预案和总部质量保证承诺书的除外。</w:t>
      </w:r>
    </w:p>
    <w:p>
      <w:pPr>
        <w:pStyle w:val="2"/>
        <w:spacing w:before="24" w:line="221" w:lineRule="auto"/>
        <w:ind w:left="644"/>
        <w:outlineLvl w:val="2"/>
      </w:pPr>
      <w:r>
        <w:rPr>
          <w:rFonts w:ascii="宋体" w:hAnsi="宋体" w:eastAsia="宋体" w:cs="宋体"/>
          <w:b/>
          <w:bCs/>
          <w:spacing w:val="6"/>
        </w:rPr>
        <w:t>2.</w:t>
      </w:r>
      <w:r>
        <w:rPr>
          <w:rFonts w:ascii="宋体" w:hAnsi="宋体" w:eastAsia="宋体" w:cs="宋体"/>
          <w:spacing w:val="6"/>
        </w:rPr>
        <w:t xml:space="preserve"> </w:t>
      </w:r>
      <w:r>
        <w:rPr>
          <w:b/>
          <w:bCs/>
          <w:spacing w:val="6"/>
        </w:rPr>
        <w:t>医疗器械经营许可</w:t>
      </w:r>
    </w:p>
    <w:p>
      <w:pPr>
        <w:pStyle w:val="2"/>
        <w:spacing w:before="218" w:line="325" w:lineRule="auto"/>
        <w:ind w:right="15" w:firstLine="780"/>
      </w:pPr>
      <w:r>
        <w:rPr>
          <w:spacing w:val="17"/>
        </w:rPr>
        <w:t>(1)《医疗器械经营许可证》核发。其中</w:t>
      </w:r>
      <w:r>
        <w:rPr>
          <w:spacing w:val="16"/>
        </w:rPr>
        <w:t>，申请的经营范</w:t>
      </w:r>
      <w:r>
        <w:t xml:space="preserve"> </w:t>
      </w:r>
      <w:r>
        <w:rPr>
          <w:spacing w:val="12"/>
        </w:rPr>
        <w:t>围不含02、04、12、13、16、17、6840体外诊断试剂等高风险</w:t>
      </w:r>
      <w:r>
        <w:rPr>
          <w:spacing w:val="11"/>
        </w:rPr>
        <w:t xml:space="preserve"> </w:t>
      </w:r>
      <w:r>
        <w:rPr>
          <w:spacing w:val="5"/>
        </w:rPr>
        <w:t>类别，且已委托为其他医疗器械生产经营企业提供贮存、配送服</w:t>
      </w:r>
      <w:r>
        <w:t xml:space="preserve"> 务的企业的除外。</w:t>
      </w:r>
    </w:p>
    <w:p>
      <w:pPr>
        <w:pStyle w:val="2"/>
        <w:spacing w:before="202" w:line="318" w:lineRule="auto"/>
        <w:ind w:right="14" w:firstLine="780"/>
      </w:pPr>
      <w:r>
        <w:rPr>
          <w:spacing w:val="17"/>
        </w:rPr>
        <w:t>(2)医疗器械经营许可事项变更时有下列</w:t>
      </w:r>
      <w:r>
        <w:rPr>
          <w:spacing w:val="16"/>
        </w:rPr>
        <w:t>情形的：①经营</w:t>
      </w:r>
      <w:r>
        <w:t xml:space="preserve"> </w:t>
      </w:r>
      <w:r>
        <w:rPr>
          <w:spacing w:val="4"/>
        </w:rPr>
        <w:t>场所、库房地址变更的。其中，原有经营场所和仓库地址无变化</w:t>
      </w:r>
      <w:r>
        <w:rPr>
          <w:spacing w:val="10"/>
        </w:rPr>
        <w:t xml:space="preserve"> </w:t>
      </w:r>
      <w:r>
        <w:rPr>
          <w:spacing w:val="4"/>
        </w:rPr>
        <w:t>核减经营场所和仓库面积，且面积符合相应经营范围规定的要求</w:t>
      </w:r>
      <w:r>
        <w:rPr>
          <w:spacing w:val="11"/>
        </w:rPr>
        <w:t xml:space="preserve"> </w:t>
      </w:r>
      <w:r>
        <w:rPr>
          <w:spacing w:val="5"/>
        </w:rPr>
        <w:t>和委托经我局许可的为其他医疗器械生产经营企业提供贮存、配</w:t>
      </w:r>
    </w:p>
    <w:p>
      <w:pPr>
        <w:spacing w:line="318" w:lineRule="auto"/>
        <w:sectPr>
          <w:footerReference r:id="rId14" w:type="default"/>
          <w:pgSz w:w="11900" w:h="16820"/>
          <w:pgMar w:top="1429" w:right="1493" w:bottom="1736" w:left="1569" w:header="0" w:footer="1243" w:gutter="0"/>
          <w:cols w:space="720" w:num="1"/>
        </w:sectPr>
      </w:pPr>
    </w:p>
    <w:p>
      <w:pPr>
        <w:spacing w:line="359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</w:p>
    <w:p>
      <w:pPr>
        <w:pStyle w:val="2"/>
        <w:spacing w:before="101" w:line="351" w:lineRule="auto"/>
        <w:jc w:val="both"/>
      </w:pPr>
      <w:r>
        <w:rPr>
          <w:spacing w:val="8"/>
        </w:rPr>
        <w:t>送服务企业开展贮存、配送的企业的除外。②经营方式变更的。</w:t>
      </w:r>
      <w:r>
        <w:t xml:space="preserve"> </w:t>
      </w:r>
      <w:r>
        <w:rPr>
          <w:spacing w:val="10"/>
        </w:rPr>
        <w:t>其中，批零兼营变更为批发或零售情形的除外。③申</w:t>
      </w:r>
      <w:r>
        <w:rPr>
          <w:spacing w:val="9"/>
        </w:rPr>
        <w:t>请增加02、</w:t>
      </w:r>
      <w:r>
        <w:t xml:space="preserve"> </w:t>
      </w:r>
      <w:r>
        <w:rPr>
          <w:spacing w:val="14"/>
        </w:rPr>
        <w:t>04、12、13、16、17、6840体外诊断试剂等高风险类别、零售</w:t>
      </w:r>
      <w:r>
        <w:rPr>
          <w:spacing w:val="2"/>
        </w:rPr>
        <w:t xml:space="preserve"> </w:t>
      </w:r>
      <w:r>
        <w:rPr>
          <w:spacing w:val="7"/>
        </w:rPr>
        <w:t>角膜接触镜、助听器的经营范围。</w:t>
      </w:r>
    </w:p>
    <w:p>
      <w:pPr>
        <w:pStyle w:val="2"/>
        <w:spacing w:before="14" w:line="222" w:lineRule="auto"/>
        <w:ind w:left="664"/>
        <w:outlineLvl w:val="2"/>
      </w:pPr>
      <w:r>
        <w:rPr>
          <w:rFonts w:ascii="宋体" w:hAnsi="宋体" w:eastAsia="宋体" w:cs="宋体"/>
          <w:b/>
          <w:bCs/>
          <w:spacing w:val="24"/>
        </w:rPr>
        <w:t>3.</w:t>
      </w:r>
      <w:r>
        <w:rPr>
          <w:rFonts w:ascii="宋体" w:hAnsi="宋体" w:eastAsia="宋体" w:cs="宋体"/>
          <w:spacing w:val="24"/>
        </w:rPr>
        <w:t xml:space="preserve"> </w:t>
      </w:r>
      <w:r>
        <w:rPr>
          <w:b/>
          <w:bCs/>
          <w:spacing w:val="24"/>
        </w:rPr>
        <w:t>食品经营许可(餐饮)</w:t>
      </w:r>
    </w:p>
    <w:p>
      <w:pPr>
        <w:pStyle w:val="2"/>
        <w:spacing w:before="248" w:line="411" w:lineRule="auto"/>
        <w:ind w:right="124" w:firstLine="790"/>
        <w:rPr>
          <w:sz w:val="26"/>
          <w:szCs w:val="26"/>
        </w:rPr>
      </w:pPr>
      <w:r>
        <w:rPr>
          <w:spacing w:val="17"/>
        </w:rPr>
        <w:t>(1)《食品经营许可证》核发。其中，适用告知承诺制的</w:t>
      </w:r>
      <w:r>
        <w:rPr>
          <w:spacing w:val="12"/>
        </w:rPr>
        <w:t xml:space="preserve"> </w:t>
      </w:r>
      <w:r>
        <w:rPr>
          <w:spacing w:val="-17"/>
          <w:sz w:val="26"/>
          <w:szCs w:val="26"/>
        </w:rPr>
        <w:t>除</w:t>
      </w:r>
      <w:r>
        <w:rPr>
          <w:spacing w:val="-23"/>
          <w:sz w:val="26"/>
          <w:szCs w:val="26"/>
        </w:rPr>
        <w:t xml:space="preserve"> </w:t>
      </w:r>
      <w:r>
        <w:rPr>
          <w:spacing w:val="-17"/>
          <w:sz w:val="26"/>
          <w:szCs w:val="26"/>
        </w:rPr>
        <w:t>外</w:t>
      </w:r>
      <w:r>
        <w:rPr>
          <w:spacing w:val="-43"/>
          <w:sz w:val="26"/>
          <w:szCs w:val="26"/>
        </w:rPr>
        <w:t xml:space="preserve"> </w:t>
      </w:r>
      <w:r>
        <w:rPr>
          <w:spacing w:val="-17"/>
          <w:sz w:val="26"/>
          <w:szCs w:val="26"/>
        </w:rPr>
        <w:t>。</w:t>
      </w:r>
    </w:p>
    <w:p>
      <w:pPr>
        <w:pStyle w:val="2"/>
        <w:spacing w:line="220" w:lineRule="auto"/>
        <w:jc w:val="right"/>
      </w:pPr>
      <w:r>
        <w:rPr>
          <w:spacing w:val="-2"/>
        </w:rPr>
        <w:t>(2)食品经营许可变更、延续时改变主要设备设施和布局的。</w:t>
      </w:r>
    </w:p>
    <w:p>
      <w:pPr>
        <w:pStyle w:val="2"/>
        <w:spacing w:before="249" w:line="301" w:lineRule="auto"/>
        <w:ind w:right="132" w:firstLine="790"/>
      </w:pPr>
      <w:r>
        <w:rPr>
          <w:spacing w:val="17"/>
        </w:rPr>
        <w:t>(3)申请人的经营条件发生变化或增加经营项目，可能影</w:t>
      </w:r>
      <w:r>
        <w:rPr>
          <w:spacing w:val="5"/>
        </w:rPr>
        <w:t xml:space="preserve"> </w:t>
      </w:r>
      <w:r>
        <w:rPr>
          <w:spacing w:val="-1"/>
        </w:rPr>
        <w:t>响食品安全的。</w:t>
      </w:r>
    </w:p>
    <w:p>
      <w:pPr>
        <w:pStyle w:val="2"/>
        <w:spacing w:before="270" w:line="294" w:lineRule="auto"/>
        <w:ind w:right="124" w:firstLine="790"/>
      </w:pPr>
      <w:r>
        <w:rPr>
          <w:spacing w:val="17"/>
        </w:rPr>
        <w:t>(4)中央厨房、集体用餐配送单位、集中用餐单位食堂的</w:t>
      </w:r>
      <w:r>
        <w:rPr>
          <w:spacing w:val="12"/>
        </w:rPr>
        <w:t xml:space="preserve"> </w:t>
      </w:r>
      <w:r>
        <w:t>食品经营许可延续。</w:t>
      </w:r>
    </w:p>
    <w:p>
      <w:pPr>
        <w:pStyle w:val="2"/>
        <w:spacing w:before="255" w:line="320" w:lineRule="auto"/>
        <w:ind w:right="56" w:firstLine="790"/>
      </w:pPr>
      <w:r>
        <w:rPr>
          <w:spacing w:val="15"/>
        </w:rPr>
        <w:t>(5)市局开展中央厨房、集体用餐配送单位、部属和省属</w:t>
      </w:r>
      <w:r>
        <w:rPr>
          <w:spacing w:val="10"/>
        </w:rPr>
        <w:t xml:space="preserve"> </w:t>
      </w:r>
      <w:r>
        <w:rPr>
          <w:spacing w:val="8"/>
        </w:rPr>
        <w:t>高校集中用餐单位食堂的食品经营许可现场核查时，各</w:t>
      </w:r>
      <w:r>
        <w:rPr>
          <w:spacing w:val="7"/>
        </w:rPr>
        <w:t>区县(市)</w:t>
      </w:r>
      <w:r>
        <w:t xml:space="preserve"> </w:t>
      </w:r>
      <w:r>
        <w:rPr>
          <w:spacing w:val="7"/>
        </w:rPr>
        <w:t>应安排相应的观察员参加现场核查，负责问题缺陷的整改复查。</w:t>
      </w:r>
    </w:p>
    <w:p>
      <w:pPr>
        <w:pStyle w:val="2"/>
        <w:spacing w:before="265" w:line="222" w:lineRule="auto"/>
        <w:ind w:left="644"/>
        <w:outlineLvl w:val="2"/>
      </w:pPr>
      <w:r>
        <w:rPr>
          <w:rFonts w:ascii="宋体" w:hAnsi="宋体" w:eastAsia="宋体" w:cs="宋体"/>
          <w:b/>
          <w:bCs/>
          <w:spacing w:val="2"/>
        </w:rPr>
        <w:t>4.</w:t>
      </w:r>
      <w:r>
        <w:rPr>
          <w:rFonts w:ascii="宋体" w:hAnsi="宋体" w:eastAsia="宋体" w:cs="宋体"/>
          <w:spacing w:val="36"/>
        </w:rPr>
        <w:t xml:space="preserve"> </w:t>
      </w:r>
      <w:r>
        <w:rPr>
          <w:b/>
          <w:bCs/>
          <w:spacing w:val="2"/>
        </w:rPr>
        <w:t>食品生产许可</w:t>
      </w:r>
    </w:p>
    <w:p>
      <w:pPr>
        <w:pStyle w:val="2"/>
        <w:spacing w:before="251" w:line="222" w:lineRule="auto"/>
        <w:ind w:left="790"/>
      </w:pPr>
      <w:r>
        <w:rPr>
          <w:spacing w:val="15"/>
        </w:rPr>
        <w:t>(1)《食品生产许可证》核发、延续。</w:t>
      </w:r>
    </w:p>
    <w:p>
      <w:pPr>
        <w:pStyle w:val="2"/>
        <w:spacing w:before="266" w:line="316" w:lineRule="auto"/>
        <w:ind w:right="131" w:firstLine="790"/>
      </w:pPr>
      <w:r>
        <w:rPr>
          <w:spacing w:val="17"/>
        </w:rPr>
        <w:t>(2)食品生产许可事项变更时有下列情形的：①改建、扩</w:t>
      </w:r>
      <w:r>
        <w:rPr>
          <w:spacing w:val="2"/>
        </w:rPr>
        <w:t xml:space="preserve"> </w:t>
      </w:r>
      <w:r>
        <w:rPr>
          <w:spacing w:val="5"/>
        </w:rPr>
        <w:t>建生产场所；②改变现有工艺设备布局和工艺流程；③改变主要</w:t>
      </w:r>
      <w:r>
        <w:rPr>
          <w:spacing w:val="12"/>
        </w:rPr>
        <w:t xml:space="preserve"> </w:t>
      </w:r>
      <w:r>
        <w:rPr>
          <w:spacing w:val="4"/>
        </w:rPr>
        <w:t>生产设备设施；④增加食品类别。</w:t>
      </w:r>
    </w:p>
    <w:p>
      <w:pPr>
        <w:spacing w:line="316" w:lineRule="auto"/>
        <w:sectPr>
          <w:footerReference r:id="rId15" w:type="default"/>
          <w:pgSz w:w="11900" w:h="16820"/>
          <w:pgMar w:top="1429" w:right="1414" w:bottom="1650" w:left="1519" w:header="0" w:footer="1279" w:gutter="0"/>
          <w:cols w:space="720" w:num="1"/>
        </w:sectPr>
      </w:pPr>
    </w:p>
    <w:p>
      <w:pPr>
        <w:spacing w:line="333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spacing w:before="104" w:line="221" w:lineRule="auto"/>
        <w:ind w:left="734"/>
        <w:outlineLvl w:val="1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b/>
          <w:bCs/>
          <w:spacing w:val="-7"/>
          <w:sz w:val="32"/>
          <w:szCs w:val="32"/>
        </w:rPr>
        <w:t>五、优化政务服务</w:t>
      </w:r>
    </w:p>
    <w:p>
      <w:pPr>
        <w:pStyle w:val="2"/>
        <w:spacing w:before="265" w:line="328" w:lineRule="auto"/>
        <w:ind w:left="99" w:right="994" w:firstLine="629"/>
        <w:rPr>
          <w:sz w:val="30"/>
          <w:szCs w:val="30"/>
        </w:rPr>
      </w:pPr>
      <w:r>
        <w:rPr>
          <w:rFonts w:ascii="宋体" w:hAnsi="宋体" w:eastAsia="宋体" w:cs="宋体"/>
          <w:spacing w:val="18"/>
          <w:sz w:val="30"/>
          <w:szCs w:val="30"/>
        </w:rPr>
        <w:t>1.</w:t>
      </w:r>
      <w:r>
        <w:rPr>
          <w:rFonts w:ascii="宋体" w:hAnsi="宋体" w:eastAsia="宋体" w:cs="宋体"/>
          <w:spacing w:val="80"/>
          <w:sz w:val="30"/>
          <w:szCs w:val="30"/>
        </w:rPr>
        <w:t xml:space="preserve"> </w:t>
      </w:r>
      <w:r>
        <w:rPr>
          <w:spacing w:val="18"/>
          <w:sz w:val="30"/>
          <w:szCs w:val="30"/>
        </w:rPr>
        <w:t>持续推进行业综合许可审批。依据相关行业市场主体的</w:t>
      </w:r>
      <w:r>
        <w:rPr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申请，对同一行业的经营许可、经营备案事项合并办理，或者对</w:t>
      </w:r>
      <w:r>
        <w:rPr>
          <w:spacing w:val="8"/>
          <w:sz w:val="30"/>
          <w:szCs w:val="30"/>
        </w:rPr>
        <w:t xml:space="preserve"> </w:t>
      </w:r>
      <w:r>
        <w:rPr>
          <w:spacing w:val="17"/>
          <w:sz w:val="30"/>
          <w:szCs w:val="30"/>
        </w:rPr>
        <w:t>同一行业的经营许可、经营备案和市场主体登记</w:t>
      </w:r>
      <w:r>
        <w:rPr>
          <w:spacing w:val="16"/>
          <w:sz w:val="30"/>
          <w:szCs w:val="30"/>
        </w:rPr>
        <w:t>事项合并办理，</w:t>
      </w:r>
      <w:r>
        <w:rPr>
          <w:sz w:val="30"/>
          <w:szCs w:val="30"/>
        </w:rPr>
        <w:t xml:space="preserve"> </w:t>
      </w:r>
      <w:r>
        <w:rPr>
          <w:spacing w:val="17"/>
          <w:sz w:val="30"/>
          <w:szCs w:val="30"/>
        </w:rPr>
        <w:t>深化“一业一证”或“一业一照”行业综合许可改革。</w:t>
      </w:r>
    </w:p>
    <w:p>
      <w:pPr>
        <w:pStyle w:val="2"/>
        <w:spacing w:before="231" w:line="304" w:lineRule="auto"/>
        <w:ind w:left="99" w:right="1035" w:firstLine="629"/>
        <w:rPr>
          <w:sz w:val="30"/>
          <w:szCs w:val="30"/>
        </w:rPr>
      </w:pPr>
      <w:r>
        <w:rPr>
          <w:rFonts w:ascii="宋体" w:hAnsi="宋体" w:eastAsia="宋体" w:cs="宋体"/>
          <w:spacing w:val="20"/>
          <w:sz w:val="30"/>
          <w:szCs w:val="30"/>
        </w:rPr>
        <w:t xml:space="preserve">2. </w:t>
      </w:r>
      <w:r>
        <w:rPr>
          <w:spacing w:val="20"/>
          <w:sz w:val="30"/>
          <w:szCs w:val="30"/>
        </w:rPr>
        <w:t>依法依规推进大型连锁餐饮服务企业食品经营许可告知</w:t>
      </w:r>
      <w:r>
        <w:rPr>
          <w:spacing w:val="8"/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承诺制，不断扩大适用范围和适用企业。</w:t>
      </w:r>
    </w:p>
    <w:p>
      <w:pPr>
        <w:pStyle w:val="2"/>
        <w:spacing w:before="209" w:line="298" w:lineRule="auto"/>
        <w:ind w:left="99" w:right="1042" w:firstLine="629"/>
        <w:rPr>
          <w:sz w:val="30"/>
          <w:szCs w:val="30"/>
        </w:rPr>
      </w:pPr>
      <w:r>
        <w:rPr>
          <w:rFonts w:ascii="宋体" w:hAnsi="宋体" w:eastAsia="宋体" w:cs="宋体"/>
          <w:spacing w:val="18"/>
          <w:sz w:val="30"/>
          <w:szCs w:val="30"/>
        </w:rPr>
        <w:t>3.</w:t>
      </w:r>
      <w:r>
        <w:rPr>
          <w:rFonts w:ascii="宋体" w:hAnsi="宋体" w:eastAsia="宋体" w:cs="宋体"/>
          <w:spacing w:val="73"/>
          <w:sz w:val="30"/>
          <w:szCs w:val="30"/>
        </w:rPr>
        <w:t xml:space="preserve"> </w:t>
      </w:r>
      <w:r>
        <w:rPr>
          <w:spacing w:val="18"/>
          <w:sz w:val="30"/>
          <w:szCs w:val="30"/>
        </w:rPr>
        <w:t>药品经营许可依法推行容缺受理，申请人可在领取《药</w:t>
      </w:r>
      <w:r>
        <w:rPr>
          <w:sz w:val="30"/>
          <w:szCs w:val="30"/>
        </w:rPr>
        <w:t xml:space="preserve"> </w:t>
      </w:r>
      <w:r>
        <w:rPr>
          <w:spacing w:val="13"/>
          <w:sz w:val="30"/>
          <w:szCs w:val="30"/>
        </w:rPr>
        <w:t>品经营许可证》时补齐执业药师注册材料。</w:t>
      </w:r>
    </w:p>
    <w:p>
      <w:pPr>
        <w:pStyle w:val="2"/>
        <w:spacing w:before="273" w:line="220" w:lineRule="auto"/>
        <w:ind w:left="729"/>
        <w:rPr>
          <w:sz w:val="30"/>
          <w:szCs w:val="30"/>
        </w:rPr>
      </w:pPr>
      <w:r>
        <w:rPr>
          <w:spacing w:val="23"/>
          <w:sz w:val="30"/>
          <w:szCs w:val="30"/>
        </w:rPr>
        <w:t>本通知自发布之日起施行，有效期5年。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98" w:line="222" w:lineRule="auto"/>
        <w:ind w:left="5350"/>
        <w:rPr>
          <w:sz w:val="30"/>
          <w:szCs w:val="30"/>
        </w:rPr>
      </w:pPr>
      <w:bookmarkStart w:id="0" w:name="_GoBack"/>
      <w:bookmarkEnd w:id="0"/>
      <w:r>
        <w:rPr>
          <w:spacing w:val="19"/>
          <w:sz w:val="30"/>
          <w:szCs w:val="30"/>
        </w:rPr>
        <w:t>长沙市市场监督管理局</w:t>
      </w:r>
    </w:p>
    <w:p>
      <w:pPr>
        <w:pStyle w:val="2"/>
        <w:spacing w:before="239" w:line="222" w:lineRule="auto"/>
        <w:ind w:left="5640"/>
        <w:rPr>
          <w:sz w:val="30"/>
          <w:szCs w:val="30"/>
        </w:rPr>
      </w:pPr>
      <w:r>
        <w:rPr>
          <w:spacing w:val="47"/>
          <w:sz w:val="30"/>
          <w:szCs w:val="30"/>
        </w:rPr>
        <w:t>2025年11月27日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" w:line="120" w:lineRule="exact"/>
        <w:ind w:firstLine="9869"/>
      </w:pPr>
      <w:r>
        <w:rPr>
          <w:position w:val="-2"/>
        </w:rPr>
        <w:drawing>
          <wp:inline distT="0" distB="0" distL="0" distR="0">
            <wp:extent cx="56515" cy="7556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126" cy="76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86" w:line="220" w:lineRule="auto"/>
        <w:ind w:left="909"/>
        <w:rPr>
          <w:sz w:val="30"/>
          <w:szCs w:val="30"/>
        </w:rPr>
      </w:pPr>
      <w:r>
        <w:rPr>
          <w:spacing w:val="26"/>
          <w:sz w:val="30"/>
          <w:szCs w:val="30"/>
        </w:rPr>
        <w:t>(公开属性：主动公开)</w:t>
      </w:r>
    </w:p>
    <w:p>
      <w:pPr>
        <w:spacing w:before="60" w:line="221" w:lineRule="auto"/>
        <w:jc w:val="right"/>
        <w:rPr>
          <w:rFonts w:ascii="宋体" w:hAnsi="宋体" w:eastAsia="宋体" w:cs="宋体"/>
          <w:sz w:val="7"/>
          <w:szCs w:val="7"/>
        </w:rPr>
      </w:pPr>
      <w:r>
        <w:rPr>
          <w:rFonts w:ascii="宋体" w:hAnsi="宋体" w:eastAsia="宋体" w:cs="宋体"/>
          <w:spacing w:val="-6"/>
          <w:sz w:val="7"/>
          <w:szCs w:val="7"/>
        </w:rPr>
        <w:t>官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151130</wp:posOffset>
            </wp:positionV>
            <wp:extent cx="5778500" cy="127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78530" cy="12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97" w:line="229" w:lineRule="auto"/>
        <w:ind w:left="79"/>
        <w:rPr>
          <w:sz w:val="30"/>
          <w:szCs w:val="30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342265</wp:posOffset>
            </wp:positionV>
            <wp:extent cx="5778500" cy="127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78530" cy="126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position w:val="-2"/>
          <w:sz w:val="30"/>
          <w:szCs w:val="30"/>
        </w:rPr>
        <w:t xml:space="preserve">长沙市市场监督管理局办公室               </w:t>
      </w:r>
      <w:r>
        <w:rPr>
          <w:spacing w:val="-3"/>
          <w:position w:val="2"/>
          <w:sz w:val="30"/>
          <w:szCs w:val="30"/>
        </w:rPr>
        <w:t>2025年11月27日印发</w:t>
      </w:r>
    </w:p>
    <w:sectPr>
      <w:footerReference r:id="rId16" w:type="default"/>
      <w:pgSz w:w="11900" w:h="16820"/>
      <w:pgMar w:top="1429" w:right="465" w:bottom="1726" w:left="1470" w:header="0" w:footer="123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4" w:lineRule="auto"/>
      <w:ind w:left="8049"/>
      <w:rPr>
        <w:rFonts w:ascii="Times New Roman" w:hAnsi="Times New Roman" w:eastAsia="Times New Roman" w:cs="Times New Roman"/>
        <w:sz w:val="30"/>
        <w:szCs w:val="30"/>
      </w:rPr>
    </w:pPr>
    <w:r>
      <w:rPr>
        <w:rFonts w:ascii="宋体" w:hAnsi="宋体" w:eastAsia="宋体" w:cs="宋体"/>
        <w:spacing w:val="-22"/>
        <w:sz w:val="30"/>
        <w:szCs w:val="30"/>
      </w:rPr>
      <w:t>—</w:t>
    </w:r>
    <w:r>
      <w:rPr>
        <w:rFonts w:ascii="宋体" w:hAnsi="宋体" w:eastAsia="宋体" w:cs="宋体"/>
        <w:spacing w:val="2"/>
        <w:sz w:val="30"/>
        <w:szCs w:val="30"/>
      </w:rPr>
      <w:t xml:space="preserve"> </w:t>
    </w:r>
    <w:r>
      <w:rPr>
        <w:rFonts w:ascii="Times New Roman" w:hAnsi="Times New Roman" w:eastAsia="Times New Roman" w:cs="Times New Roman"/>
        <w:spacing w:val="-22"/>
        <w:sz w:val="30"/>
        <w:szCs w:val="30"/>
      </w:rPr>
      <w:t>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5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4"/>
        <w:sz w:val="31"/>
        <w:szCs w:val="31"/>
      </w:rPr>
      <w:t>—2—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4" w:lineRule="auto"/>
      <w:ind w:left="7880"/>
      <w:rPr>
        <w:rFonts w:ascii="宋体" w:hAnsi="宋体" w:eastAsia="宋体" w:cs="宋体"/>
        <w:sz w:val="40"/>
        <w:szCs w:val="40"/>
      </w:rPr>
    </w:pPr>
    <w:r>
      <w:rPr>
        <w:rFonts w:ascii="宋体" w:hAnsi="宋体" w:eastAsia="宋体" w:cs="宋体"/>
        <w:spacing w:val="-10"/>
        <w:sz w:val="40"/>
        <w:szCs w:val="40"/>
      </w:rPr>
      <w:t>—3—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5" w:lineRule="auto"/>
      <w:ind w:left="4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4"/>
        <w:sz w:val="31"/>
        <w:szCs w:val="31"/>
      </w:rPr>
      <w:t>—4—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4" w:lineRule="auto"/>
      <w:ind w:left="7910"/>
      <w:rPr>
        <w:rFonts w:ascii="宋体" w:hAnsi="宋体" w:eastAsia="宋体" w:cs="宋体"/>
        <w:sz w:val="38"/>
        <w:szCs w:val="38"/>
      </w:rPr>
    </w:pPr>
    <w:r>
      <w:rPr>
        <w:rFonts w:ascii="宋体" w:hAnsi="宋体" w:eastAsia="宋体" w:cs="宋体"/>
        <w:spacing w:val="-4"/>
        <w:sz w:val="38"/>
        <w:szCs w:val="38"/>
      </w:rPr>
      <w:t>—5—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4" w:lineRule="auto"/>
      <w:rPr>
        <w:rFonts w:ascii="宋体" w:hAnsi="宋体" w:eastAsia="宋体" w:cs="宋体"/>
        <w:sz w:val="38"/>
        <w:szCs w:val="38"/>
      </w:rPr>
    </w:pPr>
    <w:r>
      <w:rPr>
        <w:rFonts w:ascii="宋体" w:hAnsi="宋体" w:eastAsia="宋体" w:cs="宋体"/>
        <w:spacing w:val="-4"/>
        <w:sz w:val="38"/>
        <w:szCs w:val="38"/>
      </w:rPr>
      <w:t>—6—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3" w:lineRule="auto"/>
      <w:ind w:left="7870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4"/>
        <w:sz w:val="31"/>
        <w:szCs w:val="31"/>
      </w:rPr>
      <w:t>—7—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rPr>
        <w:rFonts w:ascii="Times New Roman" w:hAnsi="Times New Roman" w:eastAsia="Times New Roman" w:cs="Times New Roman"/>
        <w:sz w:val="38"/>
        <w:szCs w:val="38"/>
      </w:rPr>
    </w:pPr>
    <w:r>
      <w:rPr>
        <w:rFonts w:ascii="宋体" w:hAnsi="宋体" w:eastAsia="宋体" w:cs="宋体"/>
        <w:color w:val="301040"/>
        <w:spacing w:val="-14"/>
        <w:w w:val="71"/>
        <w:sz w:val="38"/>
        <w:szCs w:val="38"/>
      </w:rPr>
      <w:t>—</w:t>
    </w:r>
    <w:r>
      <w:rPr>
        <w:rFonts w:ascii="宋体" w:hAnsi="宋体" w:eastAsia="宋体" w:cs="宋体"/>
        <w:color w:val="301040"/>
        <w:spacing w:val="-47"/>
        <w:sz w:val="38"/>
        <w:szCs w:val="38"/>
      </w:rPr>
      <w:t xml:space="preserve"> </w:t>
    </w:r>
    <w:r>
      <w:rPr>
        <w:rFonts w:ascii="Times New Roman" w:hAnsi="Times New Roman" w:eastAsia="Times New Roman" w:cs="Times New Roman"/>
        <w:spacing w:val="-10"/>
        <w:sz w:val="38"/>
        <w:szCs w:val="38"/>
      </w:rPr>
      <w:t>8—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4" w:lineRule="auto"/>
      <w:ind w:left="7870"/>
      <w:rPr>
        <w:rFonts w:ascii="宋体" w:hAnsi="宋体" w:eastAsia="宋体" w:cs="宋体"/>
        <w:sz w:val="38"/>
        <w:szCs w:val="38"/>
      </w:rPr>
    </w:pPr>
    <w:r>
      <w:rPr>
        <w:rFonts w:ascii="宋体" w:hAnsi="宋体" w:eastAsia="宋体" w:cs="宋体"/>
        <w:spacing w:val="-4"/>
        <w:sz w:val="38"/>
        <w:szCs w:val="38"/>
      </w:rPr>
      <w:t>—9—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4" w:lineRule="auto"/>
      <w:rPr>
        <w:rFonts w:ascii="宋体" w:hAnsi="宋体" w:eastAsia="宋体" w:cs="宋体"/>
        <w:sz w:val="38"/>
        <w:szCs w:val="38"/>
      </w:rPr>
    </w:pPr>
    <w:r>
      <w:rPr>
        <w:rFonts w:ascii="宋体" w:hAnsi="宋体" w:eastAsia="宋体" w:cs="宋体"/>
        <w:spacing w:val="-3"/>
        <w:sz w:val="38"/>
        <w:szCs w:val="38"/>
      </w:rPr>
      <w:t>—10—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right="5"/>
      <w:jc w:val="right"/>
      <w:rPr>
        <w:rFonts w:ascii="宋体" w:hAnsi="宋体" w:eastAsia="宋体" w:cs="宋体"/>
        <w:sz w:val="38"/>
        <w:szCs w:val="38"/>
      </w:rPr>
    </w:pPr>
    <w:r>
      <w:rPr>
        <w:rFonts w:ascii="Times New Roman" w:hAnsi="Times New Roman" w:eastAsia="Times New Roman" w:cs="Times New Roman"/>
        <w:spacing w:val="-5"/>
        <w:sz w:val="38"/>
        <w:szCs w:val="38"/>
      </w:rPr>
      <w:t xml:space="preserve">—11 </w:t>
    </w:r>
    <w:r>
      <w:rPr>
        <w:rFonts w:ascii="宋体" w:hAnsi="宋体" w:eastAsia="宋体" w:cs="宋体"/>
        <w:spacing w:val="-5"/>
        <w:sz w:val="38"/>
        <w:szCs w:val="38"/>
      </w:rPr>
      <w:t>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6" w:lineRule="auto"/>
      <w:ind w:left="99"/>
      <w:rPr>
        <w:rFonts w:ascii="宋体" w:hAnsi="宋体" w:eastAsia="宋体" w:cs="宋体"/>
        <w:sz w:val="38"/>
        <w:szCs w:val="38"/>
      </w:rPr>
    </w:pPr>
    <w:r>
      <w:rPr>
        <w:rFonts w:ascii="宋体" w:hAnsi="宋体" w:eastAsia="宋体" w:cs="宋体"/>
        <w:spacing w:val="-8"/>
        <w:sz w:val="38"/>
        <w:szCs w:val="38"/>
      </w:rPr>
      <w:t>—12—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FDF66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" w:hAnsi="FangSong" w:eastAsia="FangSong" w:cs="FangSong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image" Target="media/image3.jpeg"/><Relationship Id="rId2" Type="http://schemas.openxmlformats.org/officeDocument/2006/relationships/settings" Target="settings.xml"/><Relationship Id="rId19" Type="http://schemas.openxmlformats.org/officeDocument/2006/relationships/image" Target="media/image2.jpeg"/><Relationship Id="rId18" Type="http://schemas.openxmlformats.org/officeDocument/2006/relationships/image" Target="media/image1.jpeg"/><Relationship Id="rId17" Type="http://schemas.openxmlformats.org/officeDocument/2006/relationships/theme" Target="theme/theme1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Office_11.8.2.1130_F1E327BC-269C-435d-A152-05C5408002CA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2025-12-09T19:17:00Z</dcterms:created>
  <dc:creator>greatwall</dc:creator>
  <cp:lastModifiedBy>greatwall</cp:lastModifiedBy>
  <dcterms:modified xsi:type="dcterms:W3CDTF">2025-12-09T11:19:39Z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2025-12-09T11:17:53Z</vt:filetime>
  </property>
  <property fmtid="{D5CDD505-2E9C-101B-9397-08002B2CF9AE}" pid="4" name="UsrData">
    <vt:lpwstr>693794dc4e1c7d001f7cd1cewl</vt:lpwstr>
  </property>
  <property fmtid="{D5CDD505-2E9C-101B-9397-08002B2CF9AE}" pid="5" name="KSOProductBuildVer">
    <vt:lpwstr>2052-11.8.2.1130</vt:lpwstr>
  </property>
  <property fmtid="{D5CDD505-2E9C-101B-9397-08002B2CF9AE}" pid="6" name="ICV">
    <vt:lpwstr>595B85E7136821FB4B9537691B8223B1</vt:lpwstr>
  </property>
</Properties>
</file>